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578" w:lineRule="exact"/>
        <w:textAlignment w:val="auto"/>
        <w:rPr>
          <w:rFonts w:hint="default"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附件4</w:t>
      </w:r>
    </w:p>
    <w:p>
      <w:pPr>
        <w:keepNext w:val="0"/>
        <w:keepLines w:val="0"/>
        <w:pageBreakBefore w:val="0"/>
        <w:widowControl/>
        <w:kinsoku/>
        <w:wordWrap/>
        <w:overflowPunct/>
        <w:topLinePunct w:val="0"/>
        <w:autoSpaceDE/>
        <w:autoSpaceDN/>
        <w:bidi w:val="0"/>
        <w:adjustRightInd/>
        <w:snapToGrid/>
        <w:spacing w:line="578" w:lineRule="exact"/>
        <w:jc w:val="center"/>
        <w:textAlignment w:val="auto"/>
        <w:rPr>
          <w:rFonts w:hint="eastAsia" w:ascii="方正小标宋简体" w:hAnsi="黑体" w:eastAsia="方正小标宋简体"/>
          <w:color w:val="auto"/>
          <w:sz w:val="44"/>
          <w:szCs w:val="44"/>
        </w:rPr>
      </w:pPr>
    </w:p>
    <w:p>
      <w:pPr>
        <w:keepNext w:val="0"/>
        <w:keepLines w:val="0"/>
        <w:pageBreakBefore w:val="0"/>
        <w:widowControl/>
        <w:kinsoku/>
        <w:wordWrap/>
        <w:overflowPunct/>
        <w:topLinePunct w:val="0"/>
        <w:autoSpaceDE/>
        <w:autoSpaceDN/>
        <w:bidi w:val="0"/>
        <w:adjustRightInd/>
        <w:snapToGrid/>
        <w:spacing w:line="578" w:lineRule="exact"/>
        <w:jc w:val="center"/>
        <w:textAlignment w:val="auto"/>
        <w:rPr>
          <w:rFonts w:ascii="方正小标宋简体" w:hAnsi="黑体" w:eastAsia="方正小标宋简体"/>
          <w:color w:val="auto"/>
          <w:sz w:val="44"/>
          <w:szCs w:val="44"/>
        </w:rPr>
      </w:pPr>
      <w:bookmarkStart w:id="0" w:name="_GoBack"/>
      <w:r>
        <w:rPr>
          <w:rFonts w:hint="eastAsia" w:ascii="方正小标宋简体" w:hAnsi="黑体" w:eastAsia="方正小标宋简体"/>
          <w:color w:val="auto"/>
          <w:sz w:val="44"/>
          <w:szCs w:val="44"/>
        </w:rPr>
        <w:t>202</w:t>
      </w:r>
      <w:r>
        <w:rPr>
          <w:rFonts w:hint="eastAsia" w:ascii="方正小标宋简体" w:hAnsi="黑体" w:eastAsia="方正小标宋简体"/>
          <w:color w:val="auto"/>
          <w:sz w:val="44"/>
          <w:szCs w:val="44"/>
          <w:lang w:val="en-US" w:eastAsia="zh-CN"/>
        </w:rPr>
        <w:t>3</w:t>
      </w:r>
      <w:r>
        <w:rPr>
          <w:rFonts w:hint="eastAsia" w:ascii="方正小标宋简体" w:hAnsi="黑体" w:eastAsia="方正小标宋简体"/>
          <w:color w:val="auto"/>
          <w:sz w:val="44"/>
          <w:szCs w:val="44"/>
        </w:rPr>
        <w:t>年八闽美食嘉年华项目</w:t>
      </w:r>
      <w:r>
        <w:rPr>
          <w:rFonts w:hint="eastAsia" w:ascii="方正小标宋简体" w:hAnsi="黑体" w:eastAsia="方正小标宋简体"/>
          <w:color w:val="auto"/>
          <w:sz w:val="44"/>
          <w:szCs w:val="44"/>
          <w:lang w:val="en-US" w:eastAsia="zh-CN"/>
        </w:rPr>
        <w:t>申报</w:t>
      </w:r>
      <w:r>
        <w:rPr>
          <w:rFonts w:hint="eastAsia" w:ascii="方正小标宋简体" w:hAnsi="黑体" w:eastAsia="方正小标宋简体"/>
          <w:color w:val="auto"/>
          <w:sz w:val="44"/>
          <w:szCs w:val="44"/>
        </w:rPr>
        <w:t>指南</w:t>
      </w:r>
      <w:bookmarkEnd w:id="0"/>
    </w:p>
    <w:p>
      <w:pPr>
        <w:keepNext w:val="0"/>
        <w:keepLines w:val="0"/>
        <w:pageBreakBefore w:val="0"/>
        <w:widowControl/>
        <w:kinsoku/>
        <w:wordWrap/>
        <w:overflowPunct/>
        <w:topLinePunct w:val="0"/>
        <w:autoSpaceDE/>
        <w:autoSpaceDN/>
        <w:bidi w:val="0"/>
        <w:adjustRightInd/>
        <w:snapToGrid/>
        <w:spacing w:line="578" w:lineRule="exact"/>
        <w:ind w:firstLine="640" w:firstLineChars="200"/>
        <w:textAlignment w:val="auto"/>
        <w:rPr>
          <w:rFonts w:ascii="黑体" w:hAnsi="黑体" w:eastAsia="黑体"/>
          <w:color w:val="auto"/>
          <w:sz w:val="32"/>
          <w:szCs w:val="32"/>
        </w:rPr>
      </w:pPr>
    </w:p>
    <w:p>
      <w:pPr>
        <w:keepNext w:val="0"/>
        <w:keepLines w:val="0"/>
        <w:pageBreakBefore w:val="0"/>
        <w:numPr>
          <w:ilvl w:val="0"/>
          <w:numId w:val="1"/>
        </w:numPr>
        <w:kinsoku/>
        <w:wordWrap/>
        <w:overflowPunct/>
        <w:topLinePunct w:val="0"/>
        <w:autoSpaceDE/>
        <w:autoSpaceDN/>
        <w:bidi w:val="0"/>
        <w:adjustRightInd/>
        <w:snapToGrid/>
        <w:spacing w:line="578" w:lineRule="exact"/>
        <w:ind w:firstLine="640" w:firstLineChars="200"/>
        <w:textAlignment w:val="auto"/>
        <w:rPr>
          <w:rFonts w:hint="eastAsia" w:ascii="黑体" w:hAnsi="黑体" w:eastAsia="黑体"/>
          <w:color w:val="auto"/>
          <w:sz w:val="32"/>
          <w:szCs w:val="32"/>
        </w:rPr>
      </w:pPr>
      <w:r>
        <w:rPr>
          <w:rFonts w:hint="eastAsia" w:ascii="黑体" w:hAnsi="黑体" w:eastAsia="黑体"/>
          <w:color w:val="auto"/>
          <w:sz w:val="32"/>
          <w:szCs w:val="32"/>
        </w:rPr>
        <w:t>支持方向及支持标准</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578" w:lineRule="exact"/>
        <w:ind w:firstLine="640" w:firstLineChars="200"/>
        <w:textAlignment w:val="auto"/>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一）支持方向</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根据《福建省人民政府办公厅关于印发巩固拓展经济向好势头的一揽子政策措施的通知》（闽政办〔2023〕8号）、《福建省商务厅等4部门关于印发福建省2023年扩消费八大行动方案的通知》（闽商务〔2023〕35号）、《福建省商务厅 福建省文化和旅游厅关于印发2023年促进消费提质升级若干措施的通知》（闽商务〔2023〕5号）精神，为增强消费引导，支持</w:t>
      </w:r>
      <w:r>
        <w:rPr>
          <w:rFonts w:hint="eastAsia" w:ascii="仿宋_GB2312" w:hAnsi="仿宋_GB2312" w:eastAsia="仿宋_GB2312" w:cs="仿宋_GB2312"/>
          <w:color w:val="auto"/>
          <w:sz w:val="32"/>
          <w:szCs w:val="32"/>
          <w:lang w:val="en-US" w:eastAsia="zh-CN"/>
        </w:rPr>
        <w:t>我区</w:t>
      </w:r>
      <w:r>
        <w:rPr>
          <w:rFonts w:hint="eastAsia" w:ascii="仿宋_GB2312" w:hAnsi="仿宋_GB2312" w:eastAsia="仿宋_GB2312" w:cs="仿宋_GB2312"/>
          <w:color w:val="auto"/>
          <w:sz w:val="32"/>
          <w:szCs w:val="32"/>
        </w:rPr>
        <w:t>组织开展“八闽美食嘉年华”系列活动：一是依托美食街城、城市综合体、商圈等举办美食节活动；二是结合福博会、“9·8”投洽会等省内外重点展会、节庆活动开展美食促销；三是组织本地特色闽菜、小吃等美食集中展示展销，宣传推广闽菜文化。</w:t>
      </w:r>
    </w:p>
    <w:p>
      <w:pPr>
        <w:pStyle w:val="2"/>
        <w:keepNext w:val="0"/>
        <w:keepLines w:val="0"/>
        <w:pageBreakBefore w:val="0"/>
        <w:widowControl w:val="0"/>
        <w:numPr>
          <w:ilvl w:val="0"/>
          <w:numId w:val="2"/>
        </w:numPr>
        <w:kinsoku/>
        <w:wordWrap/>
        <w:overflowPunct/>
        <w:topLinePunct w:val="0"/>
        <w:autoSpaceDE/>
        <w:autoSpaceDN/>
        <w:bidi w:val="0"/>
        <w:adjustRightInd/>
        <w:snapToGrid/>
        <w:spacing w:after="0" w:line="578" w:lineRule="exact"/>
        <w:ind w:left="0" w:leftChars="0" w:firstLine="640" w:firstLineChars="200"/>
        <w:textAlignment w:val="auto"/>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补助标准</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578" w:lineRule="exact"/>
        <w:ind w:firstLine="640" w:firstLineChars="200"/>
        <w:textAlignment w:val="auto"/>
        <w:rPr>
          <w:rFonts w:hint="eastAsia" w:ascii="黑体" w:hAnsi="黑体" w:eastAsia="黑体" w:cs="黑体"/>
          <w:sz w:val="32"/>
          <w:szCs w:val="32"/>
          <w:highlight w:val="none"/>
          <w:lang w:val="en-US" w:eastAsia="zh-CN"/>
        </w:rPr>
      </w:pPr>
      <w:r>
        <w:rPr>
          <w:rFonts w:hint="eastAsia" w:ascii="仿宋_GB2312" w:hAnsi="仿宋_GB2312" w:eastAsia="仿宋_GB2312" w:cs="仿宋_GB2312"/>
          <w:sz w:val="32"/>
          <w:szCs w:val="32"/>
          <w:lang w:val="en-US" w:eastAsia="zh-CN"/>
        </w:rPr>
        <w:t>对我区企业或行业协会举办的“八闽美食嘉年华”系列活动的相关费用按不超过实际发生额的50%予以补助，</w:t>
      </w:r>
      <w:r>
        <w:rPr>
          <w:rFonts w:hint="eastAsia" w:ascii="仿宋_GB2312" w:hAnsi="仿宋_GB2312" w:eastAsia="仿宋_GB2312" w:cs="仿宋_GB2312"/>
          <w:sz w:val="32"/>
          <w:szCs w:val="32"/>
          <w:highlight w:val="none"/>
          <w:lang w:val="en-US" w:eastAsia="zh-CN"/>
        </w:rPr>
        <w:t>总活动补助资金不超过50万元，按照活动申报时间优先原则给予补助，单场活动摊位数（9㎡标准摊位）应不少于20个（含20个）；非标准摊位的，活动场地面积应不少于300平方米。</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黑体" w:hAnsi="黑体" w:eastAsia="黑体"/>
          <w:color w:val="auto"/>
          <w:sz w:val="32"/>
          <w:szCs w:val="32"/>
        </w:rPr>
      </w:pPr>
      <w:r>
        <w:rPr>
          <w:rFonts w:hint="eastAsia" w:ascii="黑体" w:hAnsi="黑体" w:eastAsia="黑体"/>
          <w:color w:val="auto"/>
          <w:sz w:val="32"/>
          <w:szCs w:val="32"/>
          <w:lang w:val="en-US" w:eastAsia="zh-CN"/>
        </w:rPr>
        <w:t>二、</w:t>
      </w:r>
      <w:r>
        <w:rPr>
          <w:rFonts w:hint="eastAsia" w:ascii="黑体" w:hAnsi="黑体" w:eastAsia="黑体"/>
          <w:color w:val="auto"/>
          <w:sz w:val="32"/>
          <w:szCs w:val="32"/>
        </w:rPr>
        <w:t>申报条件</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（一）</w:t>
      </w:r>
      <w:r>
        <w:rPr>
          <w:rFonts w:ascii="仿宋_GB2312" w:eastAsia="仿宋_GB2312"/>
          <w:color w:val="auto"/>
          <w:sz w:val="32"/>
          <w:szCs w:val="32"/>
        </w:rPr>
        <w:t>在实验区</w:t>
      </w:r>
      <w:r>
        <w:rPr>
          <w:rFonts w:hint="eastAsia" w:ascii="仿宋_GB2312" w:eastAsia="仿宋_GB2312"/>
          <w:color w:val="auto"/>
          <w:sz w:val="32"/>
          <w:szCs w:val="32"/>
        </w:rPr>
        <w:t>登记</w:t>
      </w:r>
      <w:r>
        <w:rPr>
          <w:rFonts w:ascii="仿宋_GB2312" w:eastAsia="仿宋_GB2312"/>
          <w:color w:val="auto"/>
          <w:sz w:val="32"/>
          <w:szCs w:val="32"/>
        </w:rPr>
        <w:t>注册</w:t>
      </w:r>
      <w:r>
        <w:rPr>
          <w:rFonts w:hint="eastAsia" w:ascii="仿宋_GB2312" w:eastAsia="仿宋_GB2312"/>
          <w:color w:val="auto"/>
          <w:sz w:val="32"/>
          <w:szCs w:val="32"/>
        </w:rPr>
        <w:t>、</w:t>
      </w:r>
      <w:r>
        <w:rPr>
          <w:rFonts w:ascii="仿宋_GB2312" w:eastAsia="仿宋_GB2312"/>
          <w:color w:val="auto"/>
          <w:sz w:val="32"/>
          <w:szCs w:val="32"/>
        </w:rPr>
        <w:t>拥有独立法人资格的企业</w:t>
      </w:r>
      <w:r>
        <w:rPr>
          <w:rFonts w:hint="eastAsia" w:ascii="仿宋_GB2312" w:eastAsia="仿宋_GB2312"/>
          <w:color w:val="auto"/>
          <w:sz w:val="32"/>
          <w:szCs w:val="32"/>
        </w:rPr>
        <w:t>或行业协会。</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（二）申报单位在申报截止日之前未在“信用中国（福建）”“国家企业信用信息公示系统”网站上查询到“失信”记录。</w:t>
      </w:r>
    </w:p>
    <w:p>
      <w:pPr>
        <w:keepNext w:val="0"/>
        <w:keepLines w:val="0"/>
        <w:pageBreakBefore w:val="0"/>
        <w:kinsoku/>
        <w:wordWrap/>
        <w:overflowPunct/>
        <w:topLinePunct w:val="0"/>
        <w:autoSpaceDE/>
        <w:autoSpaceDN/>
        <w:bidi w:val="0"/>
        <w:adjustRightInd/>
        <w:snapToGrid/>
        <w:spacing w:line="578" w:lineRule="exact"/>
        <w:ind w:firstLine="584" w:firstLineChars="200"/>
        <w:textAlignment w:val="auto"/>
        <w:rPr>
          <w:rFonts w:ascii="仿宋_GB2312" w:eastAsia="仿宋_GB2312"/>
          <w:color w:val="auto"/>
          <w:spacing w:val="-14"/>
          <w:sz w:val="32"/>
          <w:szCs w:val="32"/>
        </w:rPr>
      </w:pPr>
      <w:r>
        <w:rPr>
          <w:rFonts w:hint="eastAsia" w:ascii="仿宋_GB2312" w:eastAsia="仿宋_GB2312"/>
          <w:color w:val="auto"/>
          <w:spacing w:val="-14"/>
          <w:sz w:val="32"/>
          <w:szCs w:val="32"/>
        </w:rPr>
        <w:t>（三）项目支持时间为2</w:t>
      </w:r>
      <w:r>
        <w:rPr>
          <w:rFonts w:ascii="仿宋_GB2312" w:eastAsia="仿宋_GB2312"/>
          <w:color w:val="auto"/>
          <w:spacing w:val="-14"/>
          <w:sz w:val="32"/>
          <w:szCs w:val="32"/>
        </w:rPr>
        <w:t>02</w:t>
      </w:r>
      <w:r>
        <w:rPr>
          <w:rFonts w:hint="eastAsia" w:ascii="仿宋_GB2312" w:eastAsia="仿宋_GB2312"/>
          <w:color w:val="auto"/>
          <w:spacing w:val="-14"/>
          <w:sz w:val="32"/>
          <w:szCs w:val="32"/>
          <w:lang w:val="en-US" w:eastAsia="zh-CN"/>
        </w:rPr>
        <w:t>3</w:t>
      </w:r>
      <w:r>
        <w:rPr>
          <w:rFonts w:hint="eastAsia" w:ascii="仿宋_GB2312" w:eastAsia="仿宋_GB2312"/>
          <w:color w:val="auto"/>
          <w:spacing w:val="-14"/>
          <w:sz w:val="32"/>
          <w:szCs w:val="32"/>
        </w:rPr>
        <w:t>年1月1日至2</w:t>
      </w:r>
      <w:r>
        <w:rPr>
          <w:rFonts w:ascii="仿宋_GB2312" w:eastAsia="仿宋_GB2312"/>
          <w:color w:val="auto"/>
          <w:spacing w:val="-14"/>
          <w:sz w:val="32"/>
          <w:szCs w:val="32"/>
        </w:rPr>
        <w:t>02</w:t>
      </w:r>
      <w:r>
        <w:rPr>
          <w:rFonts w:hint="eastAsia" w:ascii="仿宋_GB2312" w:eastAsia="仿宋_GB2312"/>
          <w:color w:val="auto"/>
          <w:spacing w:val="-14"/>
          <w:sz w:val="32"/>
          <w:szCs w:val="32"/>
          <w:lang w:val="en-US" w:eastAsia="zh-CN"/>
        </w:rPr>
        <w:t>3</w:t>
      </w:r>
      <w:r>
        <w:rPr>
          <w:rFonts w:hint="eastAsia" w:ascii="仿宋_GB2312" w:eastAsia="仿宋_GB2312"/>
          <w:color w:val="auto"/>
          <w:spacing w:val="-14"/>
          <w:sz w:val="32"/>
          <w:szCs w:val="32"/>
        </w:rPr>
        <w:t>年</w:t>
      </w:r>
      <w:r>
        <w:rPr>
          <w:rFonts w:ascii="仿宋_GB2312" w:eastAsia="仿宋_GB2312"/>
          <w:color w:val="auto"/>
          <w:spacing w:val="-14"/>
          <w:sz w:val="32"/>
          <w:szCs w:val="32"/>
        </w:rPr>
        <w:t>12</w:t>
      </w:r>
      <w:r>
        <w:rPr>
          <w:rFonts w:hint="eastAsia" w:ascii="仿宋_GB2312" w:eastAsia="仿宋_GB2312"/>
          <w:color w:val="auto"/>
          <w:spacing w:val="-14"/>
          <w:sz w:val="32"/>
          <w:szCs w:val="32"/>
        </w:rPr>
        <w:t>月3</w:t>
      </w:r>
      <w:r>
        <w:rPr>
          <w:rFonts w:ascii="仿宋_GB2312" w:eastAsia="仿宋_GB2312"/>
          <w:color w:val="auto"/>
          <w:spacing w:val="-14"/>
          <w:sz w:val="32"/>
          <w:szCs w:val="32"/>
        </w:rPr>
        <w:t>1</w:t>
      </w:r>
      <w:r>
        <w:rPr>
          <w:rFonts w:hint="eastAsia" w:ascii="仿宋_GB2312" w:eastAsia="仿宋_GB2312"/>
          <w:color w:val="auto"/>
          <w:spacing w:val="-14"/>
          <w:sz w:val="32"/>
          <w:szCs w:val="32"/>
        </w:rPr>
        <w:t>日。</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黑体" w:hAnsi="黑体" w:eastAsia="黑体"/>
          <w:color w:val="auto"/>
          <w:sz w:val="32"/>
          <w:szCs w:val="32"/>
        </w:rPr>
      </w:pPr>
      <w:r>
        <w:rPr>
          <w:rFonts w:hint="eastAsia" w:ascii="黑体" w:hAnsi="黑体" w:eastAsia="黑体"/>
          <w:color w:val="auto"/>
          <w:sz w:val="32"/>
          <w:szCs w:val="32"/>
        </w:rPr>
        <w:t>三、申报材料</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（一）省级商务发展资金（因素法）申请表（原件，附件</w:t>
      </w:r>
      <w:r>
        <w:rPr>
          <w:rFonts w:hint="eastAsia" w:ascii="仿宋_GB2312" w:eastAsia="仿宋_GB2312"/>
          <w:color w:val="auto"/>
          <w:sz w:val="32"/>
          <w:szCs w:val="32"/>
          <w:lang w:val="en-US" w:eastAsia="zh-CN"/>
        </w:rPr>
        <w:t>8</w:t>
      </w:r>
      <w:r>
        <w:rPr>
          <w:rFonts w:hint="eastAsia" w:ascii="仿宋_GB2312" w:eastAsia="仿宋_GB2312"/>
          <w:color w:val="auto"/>
          <w:sz w:val="32"/>
          <w:szCs w:val="32"/>
        </w:rPr>
        <w:t>）；</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（二）营业执照或组织机构代码证书副本；</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（三）法人代表、经办人身份证复印件；</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（四）在实验区银行机构的开户材料；</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（五）申报单位在“信用中国（福建）”、国家企业信用信息公示系统网站上下载的信用信息报告。</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（六）活动实施方案（活动需冠“全闽乐购”标识，并至少提前3个工作日向我局报备，方案内容包括但不限于活动介绍、亮点、促销活动内容等）；</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（七）</w:t>
      </w:r>
      <w:r>
        <w:rPr>
          <w:rFonts w:ascii="仿宋_GB2312" w:eastAsia="仿宋_GB2312"/>
          <w:color w:val="auto"/>
          <w:sz w:val="32"/>
          <w:szCs w:val="32"/>
        </w:rPr>
        <w:t>活动投资总金额相关发票、合同、第三方审计报告（复印件，需带原件进行审核）；</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（八）活动摊位数、场地面积现场照片、租赁合同等相关证明材料；</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（九）</w:t>
      </w:r>
      <w:r>
        <w:rPr>
          <w:rFonts w:ascii="仿宋_GB2312" w:eastAsia="仿宋_GB2312"/>
          <w:color w:val="auto"/>
          <w:sz w:val="32"/>
          <w:szCs w:val="32"/>
        </w:rPr>
        <w:t>活动总结报告（原件，包括但不限于现场图片（视频）、相关宣传材料，活动参与人数（包含线上+线下），拉动消费金额等）</w:t>
      </w:r>
      <w:r>
        <w:rPr>
          <w:rFonts w:hint="eastAsia" w:ascii="仿宋_GB2312" w:eastAsia="仿宋_GB2312"/>
          <w:color w:val="auto"/>
          <w:sz w:val="32"/>
          <w:szCs w:val="32"/>
        </w:rPr>
        <w:t>。</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黑体" w:hAnsi="黑体" w:eastAsia="黑体"/>
          <w:color w:val="auto"/>
          <w:sz w:val="32"/>
          <w:szCs w:val="32"/>
        </w:rPr>
      </w:pPr>
      <w:r>
        <w:rPr>
          <w:rFonts w:hint="eastAsia" w:ascii="黑体" w:hAnsi="黑体" w:eastAsia="黑体"/>
          <w:color w:val="auto"/>
          <w:sz w:val="32"/>
          <w:szCs w:val="32"/>
        </w:rPr>
        <w:t>四、申报截止日期</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活动结束后一个月内。</w:t>
      </w:r>
    </w:p>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firstLine="640" w:firstLineChars="200"/>
        <w:textAlignment w:val="auto"/>
        <w:rPr>
          <w:rFonts w:hint="eastAsia" w:ascii="黑体" w:hAnsi="黑体" w:eastAsia="黑体"/>
          <w:color w:val="auto"/>
          <w:sz w:val="32"/>
          <w:szCs w:val="32"/>
        </w:rPr>
      </w:pPr>
      <w:r>
        <w:rPr>
          <w:rFonts w:hint="eastAsia" w:ascii="黑体" w:hAnsi="黑体" w:eastAsia="黑体"/>
          <w:color w:val="auto"/>
          <w:sz w:val="32"/>
          <w:szCs w:val="32"/>
          <w:lang w:val="en-US" w:eastAsia="zh-CN"/>
        </w:rPr>
        <w:t>五、</w:t>
      </w:r>
      <w:r>
        <w:rPr>
          <w:rFonts w:hint="eastAsia" w:ascii="黑体" w:hAnsi="黑体" w:eastAsia="黑体"/>
          <w:color w:val="auto"/>
          <w:sz w:val="32"/>
          <w:szCs w:val="32"/>
        </w:rPr>
        <w:t>联系方式</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578"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联系人：陈丹珊，联系方式：0591-23163119。</w:t>
      </w:r>
    </w:p>
    <w:p>
      <w:pPr>
        <w:keepNext w:val="0"/>
        <w:keepLines w:val="0"/>
        <w:pageBreakBefore w:val="0"/>
        <w:kinsoku/>
        <w:wordWrap/>
        <w:overflowPunct/>
        <w:topLinePunct w:val="0"/>
        <w:autoSpaceDE/>
        <w:autoSpaceDN/>
        <w:bidi w:val="0"/>
        <w:adjustRightInd/>
        <w:snapToGrid/>
        <w:spacing w:line="240" w:lineRule="auto"/>
        <w:jc w:val="both"/>
        <w:textAlignment w:val="auto"/>
      </w:pPr>
    </w:p>
    <w:sectPr>
      <w:footerReference r:id="rId3" w:type="default"/>
      <w:pgSz w:w="11906" w:h="16838"/>
      <w:pgMar w:top="1871" w:right="1531" w:bottom="1871" w:left="153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016D2EF-C325-4573-BADE-2CCE922CF19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A5278ABF-8DA7-4F50-9A01-42A8A5EB4F4D}"/>
  </w:font>
  <w:font w:name="仿宋_GB2312">
    <w:panose1 w:val="02010609030101010101"/>
    <w:charset w:val="86"/>
    <w:family w:val="modern"/>
    <w:pitch w:val="default"/>
    <w:sig w:usb0="00000001" w:usb1="080E0000" w:usb2="00000000" w:usb3="00000000" w:csb0="00040000" w:csb1="00000000"/>
    <w:embedRegular r:id="rId3" w:fontKey="{E414246C-7AF8-4224-8B04-A7C5298DA1CD}"/>
  </w:font>
  <w:font w:name="方正小标宋简体">
    <w:panose1 w:val="02000000000000000000"/>
    <w:charset w:val="86"/>
    <w:family w:val="auto"/>
    <w:pitch w:val="default"/>
    <w:sig w:usb0="00000001" w:usb1="080E0000" w:usb2="00000000" w:usb3="00000000" w:csb0="00040000" w:csb1="00000000"/>
    <w:embedRegular r:id="rId4" w:fontKey="{F080E630-0557-4CAB-ABC8-0C30C5CDE382}"/>
  </w:font>
  <w:font w:name="楷体_GB2312">
    <w:panose1 w:val="02010609030101010101"/>
    <w:charset w:val="86"/>
    <w:family w:val="modern"/>
    <w:pitch w:val="default"/>
    <w:sig w:usb0="00000001" w:usb1="080E0000" w:usb2="00000000" w:usb3="00000000" w:csb0="00040000" w:csb1="00000000"/>
    <w:embedRegular r:id="rId5" w:fontKey="{7B024C99-F82F-4963-87A9-E1FBFD5AED96}"/>
  </w:font>
  <w:font w:name="Sylfaen">
    <w:panose1 w:val="010A0502050306030303"/>
    <w:charset w:val="00"/>
    <w:family w:val="auto"/>
    <w:pitch w:val="default"/>
    <w:sig w:usb0="04000687" w:usb1="00000000" w:usb2="00000000" w:usb3="00000000" w:csb0="2000009F" w:csb1="00000000"/>
  </w:font>
  <w:font w:name="Sitka Banner">
    <w:panose1 w:val="02000505000000020004"/>
    <w:charset w:val="00"/>
    <w:family w:val="auto"/>
    <w:pitch w:val="default"/>
    <w:sig w:usb0="A00002EF" w:usb1="4000204B" w:usb2="00000000" w:usb3="00000000" w:csb0="2000019F" w:csb1="00000000"/>
  </w:font>
  <w:font w:name="Segoe UI Black">
    <w:panose1 w:val="020B0A02040204020203"/>
    <w:charset w:val="00"/>
    <w:family w:val="auto"/>
    <w:pitch w:val="default"/>
    <w:sig w:usb0="E00002FF" w:usb1="4000E47F" w:usb2="00000021" w:usb3="00000000" w:csb0="2000019F" w:csb1="00000000"/>
  </w:font>
  <w:font w:name="Poor Richard">
    <w:panose1 w:val="02080502050505020702"/>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4"/>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100FC4"/>
    <w:multiLevelType w:val="singleLevel"/>
    <w:tmpl w:val="D3100FC4"/>
    <w:lvl w:ilvl="0" w:tentative="0">
      <w:start w:val="1"/>
      <w:numFmt w:val="chineseCounting"/>
      <w:suff w:val="nothing"/>
      <w:lvlText w:val="%1、"/>
      <w:lvlJc w:val="left"/>
      <w:rPr>
        <w:rFonts w:hint="eastAsia"/>
      </w:rPr>
    </w:lvl>
  </w:abstractNum>
  <w:abstractNum w:abstractNumId="1">
    <w:nsid w:val="06388695"/>
    <w:multiLevelType w:val="singleLevel"/>
    <w:tmpl w:val="06388695"/>
    <w:lvl w:ilvl="0" w:tentative="0">
      <w:start w:val="2"/>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yZjU1NWNjZTUzY2Q0NDM5MWY4MDlmZTRkNzA5MjUifQ=="/>
  </w:docVars>
  <w:rsids>
    <w:rsidRoot w:val="6C9965CD"/>
    <w:rsid w:val="6C996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style>
  <w:style w:type="paragraph" w:styleId="3">
    <w:name w:val="Body Text Indent"/>
    <w:basedOn w:val="1"/>
    <w:qFormat/>
    <w:uiPriority w:val="0"/>
    <w:pPr>
      <w:spacing w:after="120" w:afterAutospacing="0"/>
      <w:ind w:left="420" w:leftChars="200"/>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914</Words>
  <Characters>960</Characters>
  <Lines>0</Lines>
  <Paragraphs>0</Paragraphs>
  <TotalTime>1</TotalTime>
  <ScaleCrop>false</ScaleCrop>
  <LinksUpToDate>false</LinksUpToDate>
  <CharactersWithSpaces>961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2023-06-12T07:13:00Z</dcterms:created>
  <dc:creator>三更</dc:creator>
  <cp:lastModifiedBy>三更</cp:lastModifiedBy>
  <dcterms:modified xsi:type="dcterms:W3CDTF">2023-06-12T07:15:24Z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485E3106220542F6A2CB8BEBF34D5DF3_11</vt:lpwstr>
  </property>
</Properties>
</file>