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黑体" w:cs="仿宋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p>
      <w:pPr>
        <w:spacing w:line="600" w:lineRule="exact"/>
        <w:ind w:firstLine="880" w:firstLineChars="200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>清理拖欠民营企业中小企业账款工作台账报表</w:t>
      </w:r>
    </w:p>
    <w:p>
      <w:pPr>
        <w:spacing w:line="260" w:lineRule="exac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填报单位（盖章）：                  截至时间：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Cs w:val="21"/>
        </w:rPr>
        <w:t>年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Cs w:val="21"/>
        </w:rPr>
        <w:t>月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Cs w:val="21"/>
        </w:rPr>
        <w:t>日                单位：万元</w:t>
      </w:r>
    </w:p>
    <w:tbl>
      <w:tblPr>
        <w:tblStyle w:val="4"/>
        <w:tblW w:w="0" w:type="auto"/>
        <w:tblInd w:w="-2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1892"/>
        <w:gridCol w:w="859"/>
        <w:gridCol w:w="1064"/>
        <w:gridCol w:w="1009"/>
        <w:gridCol w:w="1309"/>
        <w:gridCol w:w="723"/>
        <w:gridCol w:w="1104"/>
        <w:gridCol w:w="1732"/>
        <w:gridCol w:w="1500"/>
        <w:gridCol w:w="171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354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项  目</w:t>
            </w:r>
          </w:p>
        </w:tc>
        <w:tc>
          <w:tcPr>
            <w:tcW w:w="8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拖欠账款合计</w:t>
            </w:r>
          </w:p>
        </w:tc>
        <w:tc>
          <w:tcPr>
            <w:tcW w:w="10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其中：（一）拖欠农民工工资</w:t>
            </w:r>
          </w:p>
        </w:tc>
        <w:tc>
          <w:tcPr>
            <w:tcW w:w="41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（二）两款一金</w:t>
            </w:r>
          </w:p>
        </w:tc>
        <w:tc>
          <w:tcPr>
            <w:tcW w:w="17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（三）财政已下达资金预算或调剂解决资金渠道的欠款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（四）保留入库的PPP项目到期应付合同款</w:t>
            </w:r>
          </w:p>
        </w:tc>
        <w:tc>
          <w:tcPr>
            <w:tcW w:w="1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（五）被叫停PPP和政府购买项目且已形成工作量的欠款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0" w:hRule="atLeast"/>
        </w:trPr>
        <w:tc>
          <w:tcPr>
            <w:tcW w:w="354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8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1.工程款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其中：涉及民生安全工程款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2.物资采购款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3.保证金</w:t>
            </w:r>
          </w:p>
        </w:tc>
        <w:tc>
          <w:tcPr>
            <w:tcW w:w="17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一、政府部门及所属机构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已偿还金额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剩余金额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其中：列入2019年底前清偿的余额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二、地方大型国有企业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已偿还金额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hint="eastAsia" w:ascii="仿宋" w:hAnsi="仿宋" w:eastAsia="仿宋" w:cs="仿宋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hint="eastAsia" w:ascii="仿宋" w:hAnsi="仿宋" w:eastAsia="仿宋" w:cs="仿宋"/>
                <w:color w:val="000000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399"/>
              </w:tabs>
              <w:spacing w:line="26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剩余金额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hint="eastAsia" w:ascii="仿宋" w:hAnsi="仿宋" w:eastAsia="仿宋" w:cs="仿宋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hint="eastAsia" w:ascii="仿宋" w:hAnsi="仿宋" w:eastAsia="仿宋" w:cs="仿宋"/>
                <w:color w:val="000000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其中：列入2019年底前清偿的余额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 xml:space="preserve">  其中：地方政府平台公司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已偿还金额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剩余金额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</w:tbl>
    <w:p>
      <w:pPr>
        <w:spacing w:line="260" w:lineRule="exact"/>
        <w:rPr>
          <w:rFonts w:ascii="仿宋" w:hAnsi="仿宋" w:eastAsia="仿宋" w:cs="仿宋"/>
          <w:szCs w:val="21"/>
        </w:rPr>
      </w:pPr>
    </w:p>
    <w:p>
      <w:pPr>
        <w:pStyle w:val="8"/>
        <w:spacing w:line="260" w:lineRule="exact"/>
        <w:ind w:firstLine="420" w:firstLineChars="200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注： 1.报送时间：自2018年12月12日起，省人社厅、住建厅、财政厅、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</w:rPr>
        <w:t>国资委</w:t>
      </w:r>
      <w:r>
        <w:rPr>
          <w:rFonts w:hint="eastAsia" w:ascii="仿宋" w:hAnsi="仿宋" w:eastAsia="仿宋" w:cs="仿宋"/>
          <w:sz w:val="21"/>
          <w:szCs w:val="21"/>
        </w:rPr>
        <w:t>每周四下午17:00前将汇总后的表格盖章传真至报省工信厅减负办。0591-87829678，电子版请发电子邮箱：fj_jfb@fjetc.gov.cn</w:t>
      </w:r>
    </w:p>
    <w:p>
      <w:pPr>
        <w:spacing w:line="260" w:lineRule="exac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     2.填报要求：填报时，如某项目尚未统计，则不填；如没有偿还金额或该项目不存在，则填0。</w:t>
      </w:r>
    </w:p>
    <w:p>
      <w:pPr>
        <w:spacing w:line="260" w:lineRule="exac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     3.相关指标解释：（1）已偿还金额是指自国办明电通知印发后偿还的欠款合计；（2）剩余金额是指自截至填报当日的各项欠款</w:t>
      </w:r>
    </w:p>
    <w:p>
      <w:pPr>
        <w:spacing w:line="260" w:lineRule="exac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       剩余金额；（3）拖欠账款合计不等于各分项的加总，各分项间可能存在交叉关系。</w:t>
      </w:r>
    </w:p>
    <w:p>
      <w:pPr>
        <w:spacing w:line="260" w:lineRule="exact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     4.汇总要求：（1）表格横栏中栏目（一）统一由省人社厅汇总后报省工信厅减负办总汇总；（2)栏目</w:t>
      </w:r>
      <w:r>
        <w:rPr>
          <w:rFonts w:hint="eastAsia" w:ascii="仿宋" w:hAnsi="仿宋" w:eastAsia="仿宋" w:cs="仿宋"/>
          <w:color w:val="000000"/>
          <w:kern w:val="0"/>
          <w:szCs w:val="21"/>
        </w:rPr>
        <w:t>（二）</w:t>
      </w:r>
      <w:r>
        <w:rPr>
          <w:rFonts w:hint="eastAsia" w:ascii="仿宋" w:hAnsi="仿宋" w:eastAsia="仿宋" w:cs="仿宋"/>
          <w:szCs w:val="21"/>
        </w:rPr>
        <w:t>统一由省住建厅汇总后报省工信厅减负办总汇总；(3)栏目</w:t>
      </w:r>
      <w:r>
        <w:rPr>
          <w:rFonts w:hint="eastAsia" w:ascii="仿宋" w:hAnsi="仿宋" w:eastAsia="仿宋" w:cs="仿宋"/>
          <w:color w:val="000000"/>
          <w:kern w:val="0"/>
          <w:szCs w:val="21"/>
        </w:rPr>
        <w:t>（三）至（五）</w:t>
      </w:r>
      <w:r>
        <w:rPr>
          <w:rFonts w:hint="eastAsia" w:ascii="仿宋" w:hAnsi="仿宋" w:eastAsia="仿宋" w:cs="仿宋"/>
          <w:szCs w:val="21"/>
        </w:rPr>
        <w:t>统一由省财政厅汇总后报省工信厅减负办总汇总；(4)表格竖栏中：</w:t>
      </w:r>
      <w:r>
        <w:rPr>
          <w:rFonts w:hint="eastAsia" w:ascii="仿宋" w:hAnsi="仿宋" w:eastAsia="仿宋" w:cs="仿宋"/>
          <w:color w:val="000000"/>
          <w:kern w:val="0"/>
          <w:szCs w:val="21"/>
        </w:rPr>
        <w:t>二、地方大型国有企业由省国资委</w:t>
      </w:r>
      <w:r>
        <w:rPr>
          <w:rFonts w:hint="eastAsia" w:ascii="仿宋" w:hAnsi="仿宋" w:eastAsia="仿宋" w:cs="仿宋"/>
          <w:szCs w:val="21"/>
        </w:rPr>
        <w:t>汇总后报省工信厅减负办总汇总；(5)各级地方政府汇总后按职能分工分别于周三下午17:00前盖章传真至省人社厅、住建厅、财政厅汇总。</w:t>
      </w:r>
    </w:p>
    <w:sectPr>
      <w:pgSz w:w="16838" w:h="11906" w:orient="landscape"/>
      <w:pgMar w:top="1803" w:right="1440" w:bottom="1803" w:left="1440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AE5"/>
    <w:rsid w:val="001D2E53"/>
    <w:rsid w:val="00202119"/>
    <w:rsid w:val="00361CDD"/>
    <w:rsid w:val="00533AAC"/>
    <w:rsid w:val="006D627E"/>
    <w:rsid w:val="007117EC"/>
    <w:rsid w:val="00793AE5"/>
    <w:rsid w:val="008270E0"/>
    <w:rsid w:val="009B1102"/>
    <w:rsid w:val="00C811DE"/>
    <w:rsid w:val="00D11697"/>
    <w:rsid w:val="324E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  <w:style w:type="paragraph" w:customStyle="1" w:styleId="8">
    <w:name w:val="公文正文"/>
    <w:basedOn w:val="1"/>
    <w:qFormat/>
    <w:uiPriority w:val="0"/>
    <w:rPr>
      <w:rFonts w:eastAsia="仿宋_GB2312"/>
      <w:sz w:val="32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137</Words>
  <Characters>784</Characters>
  <Lines>6</Lines>
  <Paragraphs>1</Paragraphs>
  <TotalTime>3</TotalTime>
  <ScaleCrop>false</ScaleCrop>
  <LinksUpToDate>false</LinksUpToDate>
  <CharactersWithSpaces>920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2019-01-15T00:42:00Z</dcterms:created>
  <dc:creator>Administrator</dc:creator>
  <cp:lastModifiedBy>Administrator</cp:lastModifiedBy>
  <dcterms:modified xsi:type="dcterms:W3CDTF">2019-12-11T02:08:29Z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