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rPr>
          <w:rFonts w:cs="Times New Roman"/>
          <w:color w:val="FF0000"/>
          <w:sz w:val="44"/>
          <w:szCs w:val="44"/>
        </w:rPr>
      </w:pPr>
    </w:p>
    <w:p>
      <w:pPr>
        <w:ind w:firstLine="0" w:firstLineChars="0"/>
        <w:jc w:val="center"/>
        <w:rPr>
          <w:rFonts w:ascii="黑体" w:hAnsi="黑体" w:eastAsia="黑体"/>
          <w:sz w:val="48"/>
          <w:szCs w:val="48"/>
        </w:rPr>
      </w:pPr>
    </w:p>
    <w:p>
      <w:pPr>
        <w:spacing w:line="360" w:lineRule="auto"/>
        <w:ind w:firstLine="0" w:firstLineChars="0"/>
        <w:jc w:val="center"/>
        <w:rPr>
          <w:rFonts w:ascii="黑体" w:hAnsi="黑体" w:eastAsia="黑体"/>
          <w:b/>
          <w:bCs/>
          <w:sz w:val="48"/>
          <w:szCs w:val="48"/>
        </w:rPr>
      </w:pPr>
      <w:r>
        <w:rPr>
          <w:rFonts w:hint="eastAsia" w:ascii="黑体" w:hAnsi="黑体" w:eastAsia="黑体"/>
          <w:b/>
          <w:bCs/>
          <w:sz w:val="48"/>
          <w:szCs w:val="48"/>
        </w:rPr>
        <w:t>三明市三元区东霞富兴堡片区</w:t>
      </w:r>
    </w:p>
    <w:p>
      <w:pPr>
        <w:spacing w:line="360" w:lineRule="auto"/>
        <w:ind w:firstLine="0" w:firstLineChars="0"/>
        <w:jc w:val="center"/>
        <w:rPr>
          <w:rFonts w:ascii="黑体" w:hAnsi="黑体" w:eastAsia="黑体"/>
          <w:b/>
          <w:bCs/>
          <w:sz w:val="48"/>
          <w:szCs w:val="48"/>
        </w:rPr>
      </w:pPr>
      <w:r>
        <w:rPr>
          <w:rFonts w:hint="eastAsia" w:ascii="黑体" w:hAnsi="黑体" w:eastAsia="黑体"/>
          <w:b/>
          <w:bCs/>
          <w:sz w:val="48"/>
          <w:szCs w:val="48"/>
        </w:rPr>
        <w:t>土地征收成片开发方案</w:t>
      </w:r>
    </w:p>
    <w:p>
      <w:pPr>
        <w:ind w:firstLine="0" w:firstLineChars="0"/>
        <w:jc w:val="center"/>
        <w:rPr>
          <w:rFonts w:ascii="黑体" w:hAnsi="黑体" w:eastAsia="黑体"/>
          <w:b/>
          <w:bCs/>
          <w:color w:val="FF0000"/>
          <w:sz w:val="48"/>
          <w:szCs w:val="48"/>
        </w:rPr>
      </w:pPr>
    </w:p>
    <w:p>
      <w:pPr>
        <w:spacing w:line="360" w:lineRule="auto"/>
        <w:ind w:firstLine="0" w:firstLineChars="0"/>
        <w:jc w:val="center"/>
        <w:rPr>
          <w:rFonts w:ascii="黑体" w:hAnsi="黑体" w:eastAsia="黑体"/>
          <w:b/>
          <w:bCs/>
          <w:sz w:val="44"/>
          <w:szCs w:val="44"/>
        </w:rPr>
      </w:pPr>
    </w:p>
    <w:p>
      <w:pPr>
        <w:ind w:firstLine="0" w:firstLineChars="0"/>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color w:val="FF0000"/>
          <w:sz w:val="32"/>
          <w:szCs w:val="32"/>
        </w:rPr>
      </w:pPr>
    </w:p>
    <w:p>
      <w:pPr>
        <w:pStyle w:val="2"/>
        <w:ind w:firstLine="0" w:firstLineChars="0"/>
        <w:rPr>
          <w:rFonts w:cs="Times New Roman"/>
          <w:color w:val="FF0000"/>
          <w:sz w:val="32"/>
          <w:szCs w:val="32"/>
        </w:rPr>
      </w:pPr>
    </w:p>
    <w:p>
      <w:pPr>
        <w:ind w:firstLine="0" w:firstLineChars="0"/>
        <w:jc w:val="center"/>
        <w:rPr>
          <w:rFonts w:cs="Times New Roman"/>
          <w:color w:val="FF0000"/>
          <w:sz w:val="32"/>
          <w:szCs w:val="32"/>
        </w:rPr>
      </w:pPr>
    </w:p>
    <w:p>
      <w:pPr>
        <w:ind w:firstLine="0" w:firstLineChars="0"/>
        <w:jc w:val="center"/>
        <w:rPr>
          <w:rFonts w:ascii="黑体" w:hAnsi="黑体" w:eastAsia="黑体"/>
          <w:sz w:val="36"/>
          <w:szCs w:val="36"/>
        </w:rPr>
      </w:pPr>
      <w:r>
        <w:rPr>
          <w:rFonts w:hint="eastAsia" w:ascii="黑体" w:hAnsi="黑体" w:eastAsia="黑体"/>
          <w:sz w:val="36"/>
          <w:szCs w:val="36"/>
        </w:rPr>
        <w:t>三明市人民政府</w:t>
      </w:r>
    </w:p>
    <w:p>
      <w:pPr>
        <w:ind w:firstLine="0" w:firstLineChars="0"/>
        <w:jc w:val="center"/>
        <w:rPr>
          <w:rFonts w:ascii="黑体" w:hAnsi="黑体" w:eastAsia="黑体"/>
          <w:sz w:val="36"/>
          <w:szCs w:val="36"/>
        </w:rPr>
      </w:pPr>
      <w:r>
        <w:rPr>
          <w:rFonts w:hint="eastAsia" w:ascii="黑体" w:hAnsi="黑体" w:eastAsia="黑体"/>
          <w:sz w:val="36"/>
          <w:szCs w:val="36"/>
        </w:rPr>
        <w:t>2021年2月</w:t>
      </w:r>
    </w:p>
    <w:p>
      <w:pPr>
        <w:ind w:firstLine="560"/>
        <w:rPr>
          <w:color w:val="FF0000"/>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start="1"/>
          <w:cols w:space="720" w:num="1"/>
          <w:docGrid w:type="lines" w:linePitch="312" w:charSpace="0"/>
        </w:sectPr>
      </w:pPr>
    </w:p>
    <w:p>
      <w:pPr>
        <w:pStyle w:val="2"/>
        <w:ind w:firstLine="360"/>
        <w:sectPr>
          <w:pgSz w:w="11906" w:h="16838"/>
          <w:pgMar w:top="1440" w:right="1800" w:bottom="1440" w:left="1800" w:header="851" w:footer="992" w:gutter="0"/>
          <w:pgNumType w:start="1"/>
          <w:cols w:space="720" w:num="1"/>
          <w:docGrid w:type="lines" w:linePitch="312" w:charSpace="0"/>
        </w:sectPr>
      </w:pPr>
    </w:p>
    <w:p>
      <w:pPr>
        <w:pStyle w:val="2"/>
        <w:ind w:firstLine="2240" w:firstLineChars="700"/>
        <w:rPr>
          <w:color w:val="FF0000"/>
        </w:rPr>
      </w:pPr>
      <w:r>
        <w:rPr>
          <w:rFonts w:hint="eastAsia"/>
          <w:sz w:val="32"/>
          <w:szCs w:val="32"/>
        </w:rPr>
        <w:t xml:space="preserve">      </w:t>
      </w:r>
    </w:p>
    <w:p>
      <w:pPr>
        <w:spacing w:line="240" w:lineRule="auto"/>
        <w:ind w:firstLine="0" w:firstLineChars="0"/>
        <w:jc w:val="center"/>
        <w:rPr>
          <w:rFonts w:ascii="黑体" w:hAnsi="黑体" w:eastAsia="黑体"/>
          <w:color w:val="FF0000"/>
          <w:sz w:val="32"/>
          <w:szCs w:val="32"/>
        </w:rPr>
      </w:pPr>
      <w:r>
        <w:rPr>
          <w:rFonts w:hint="eastAsia" w:ascii="黑体" w:hAnsi="黑体" w:eastAsia="黑体"/>
          <w:sz w:val="32"/>
          <w:szCs w:val="32"/>
        </w:rPr>
        <w:t>目录</w:t>
      </w:r>
    </w:p>
    <w:p>
      <w:pPr>
        <w:pStyle w:val="10"/>
        <w:tabs>
          <w:tab w:val="right" w:leader="dot" w:pos="8306"/>
        </w:tabs>
        <w:ind w:firstLine="560"/>
      </w:pPr>
      <w:r>
        <w:rPr>
          <w:color w:val="FF0000"/>
        </w:rPr>
        <w:fldChar w:fldCharType="begin"/>
      </w:r>
      <w:r>
        <w:rPr>
          <w:color w:val="FF0000"/>
        </w:rPr>
        <w:instrText xml:space="preserve">TOC \o "1-2" \h \u </w:instrText>
      </w:r>
      <w:r>
        <w:rPr>
          <w:color w:val="FF0000"/>
        </w:rPr>
        <w:fldChar w:fldCharType="separate"/>
      </w:r>
      <w:r>
        <w:fldChar w:fldCharType="begin"/>
      </w:r>
      <w:r>
        <w:instrText xml:space="preserve"> HYPERLINK \l "_Toc23687" </w:instrText>
      </w:r>
      <w:r>
        <w:fldChar w:fldCharType="separate"/>
      </w:r>
      <w:r>
        <w:rPr>
          <w:rFonts w:hint="eastAsia"/>
        </w:rPr>
        <w:t>一、 概述</w:t>
      </w:r>
      <w:r>
        <w:tab/>
      </w:r>
      <w:r>
        <w:fldChar w:fldCharType="begin"/>
      </w:r>
      <w:r>
        <w:instrText xml:space="preserve"> PAGEREF _Toc23687 \h </w:instrText>
      </w:r>
      <w:r>
        <w:fldChar w:fldCharType="separate"/>
      </w:r>
      <w:r>
        <w:t>1</w:t>
      </w:r>
      <w:r>
        <w:fldChar w:fldCharType="end"/>
      </w:r>
      <w:r>
        <w:fldChar w:fldCharType="end"/>
      </w:r>
    </w:p>
    <w:p>
      <w:pPr>
        <w:pStyle w:val="12"/>
        <w:tabs>
          <w:tab w:val="right" w:leader="dot" w:pos="8306"/>
        </w:tabs>
        <w:ind w:left="560" w:firstLine="560"/>
      </w:pPr>
      <w:r>
        <w:fldChar w:fldCharType="begin"/>
      </w:r>
      <w:r>
        <w:instrText xml:space="preserve"> HYPERLINK \l "_Toc7572" </w:instrText>
      </w:r>
      <w:r>
        <w:fldChar w:fldCharType="separate"/>
      </w:r>
      <w:r>
        <w:rPr>
          <w:rFonts w:hint="eastAsia"/>
        </w:rPr>
        <w:t>（一） 编制背景</w:t>
      </w:r>
      <w:r>
        <w:tab/>
      </w:r>
      <w:r>
        <w:fldChar w:fldCharType="begin"/>
      </w:r>
      <w:r>
        <w:instrText xml:space="preserve"> PAGEREF _Toc7572 \h </w:instrText>
      </w:r>
      <w:r>
        <w:fldChar w:fldCharType="separate"/>
      </w:r>
      <w:r>
        <w:t>1</w:t>
      </w:r>
      <w:r>
        <w:fldChar w:fldCharType="end"/>
      </w:r>
      <w:r>
        <w:fldChar w:fldCharType="end"/>
      </w:r>
    </w:p>
    <w:p>
      <w:pPr>
        <w:pStyle w:val="12"/>
        <w:tabs>
          <w:tab w:val="right" w:leader="dot" w:pos="8306"/>
        </w:tabs>
        <w:ind w:left="560" w:firstLine="560"/>
      </w:pPr>
      <w:r>
        <w:fldChar w:fldCharType="begin"/>
      </w:r>
      <w:r>
        <w:instrText xml:space="preserve"> HYPERLINK \l "_Toc219" </w:instrText>
      </w:r>
      <w:r>
        <w:fldChar w:fldCharType="separate"/>
      </w:r>
      <w:r>
        <w:rPr>
          <w:rFonts w:hint="eastAsia"/>
          <w:bCs/>
        </w:rPr>
        <w:t>（二） 编制原则</w:t>
      </w:r>
      <w:r>
        <w:tab/>
      </w:r>
      <w:r>
        <w:fldChar w:fldCharType="begin"/>
      </w:r>
      <w:r>
        <w:instrText xml:space="preserve"> PAGEREF _Toc219 \h </w:instrText>
      </w:r>
      <w:r>
        <w:fldChar w:fldCharType="separate"/>
      </w:r>
      <w:r>
        <w:t>2</w:t>
      </w:r>
      <w:r>
        <w:fldChar w:fldCharType="end"/>
      </w:r>
      <w:r>
        <w:fldChar w:fldCharType="end"/>
      </w:r>
    </w:p>
    <w:p>
      <w:pPr>
        <w:pStyle w:val="12"/>
        <w:tabs>
          <w:tab w:val="right" w:leader="dot" w:pos="8306"/>
        </w:tabs>
        <w:ind w:left="560" w:firstLine="560"/>
      </w:pPr>
      <w:r>
        <w:fldChar w:fldCharType="begin"/>
      </w:r>
      <w:r>
        <w:instrText xml:space="preserve"> HYPERLINK \l "_Toc15789" </w:instrText>
      </w:r>
      <w:r>
        <w:fldChar w:fldCharType="separate"/>
      </w:r>
      <w:r>
        <w:rPr>
          <w:rFonts w:hint="eastAsia"/>
          <w:bCs/>
        </w:rPr>
        <w:t>（三） 编制依据</w:t>
      </w:r>
      <w:r>
        <w:tab/>
      </w:r>
      <w:r>
        <w:fldChar w:fldCharType="begin"/>
      </w:r>
      <w:r>
        <w:instrText xml:space="preserve"> PAGEREF _Toc15789 \h </w:instrText>
      </w:r>
      <w:r>
        <w:fldChar w:fldCharType="separate"/>
      </w:r>
      <w:r>
        <w:t>3</w:t>
      </w:r>
      <w:r>
        <w:fldChar w:fldCharType="end"/>
      </w:r>
      <w:r>
        <w:fldChar w:fldCharType="end"/>
      </w:r>
    </w:p>
    <w:p>
      <w:pPr>
        <w:pStyle w:val="10"/>
        <w:tabs>
          <w:tab w:val="right" w:leader="dot" w:pos="8306"/>
        </w:tabs>
        <w:ind w:firstLine="560"/>
      </w:pPr>
      <w:r>
        <w:fldChar w:fldCharType="begin"/>
      </w:r>
      <w:r>
        <w:instrText xml:space="preserve"> HYPERLINK \l "_Toc1395" </w:instrText>
      </w:r>
      <w:r>
        <w:fldChar w:fldCharType="separate"/>
      </w:r>
      <w:r>
        <w:rPr>
          <w:rFonts w:hint="eastAsia"/>
        </w:rPr>
        <w:t>二、 编制条件</w:t>
      </w:r>
      <w:r>
        <w:tab/>
      </w:r>
      <w:r>
        <w:fldChar w:fldCharType="begin"/>
      </w:r>
      <w:r>
        <w:instrText xml:space="preserve"> PAGEREF _Toc1395 \h </w:instrText>
      </w:r>
      <w:r>
        <w:fldChar w:fldCharType="separate"/>
      </w:r>
      <w:r>
        <w:t>5</w:t>
      </w:r>
      <w:r>
        <w:fldChar w:fldCharType="end"/>
      </w:r>
      <w:r>
        <w:fldChar w:fldCharType="end"/>
      </w:r>
    </w:p>
    <w:p>
      <w:pPr>
        <w:pStyle w:val="12"/>
        <w:tabs>
          <w:tab w:val="right" w:leader="dot" w:pos="8306"/>
        </w:tabs>
        <w:ind w:left="560" w:firstLine="560"/>
      </w:pPr>
      <w:r>
        <w:fldChar w:fldCharType="begin"/>
      </w:r>
      <w:r>
        <w:instrText xml:space="preserve"> HYPERLINK \l "_Toc23774" </w:instrText>
      </w:r>
      <w:r>
        <w:fldChar w:fldCharType="separate"/>
      </w:r>
      <w:r>
        <w:rPr>
          <w:rFonts w:hint="eastAsia"/>
          <w:bCs/>
          <w:szCs w:val="32"/>
        </w:rPr>
        <w:t>（一）批而未供土地和闲置土地情况</w:t>
      </w:r>
      <w:r>
        <w:tab/>
      </w:r>
      <w:r>
        <w:fldChar w:fldCharType="begin"/>
      </w:r>
      <w:r>
        <w:instrText xml:space="preserve"> PAGEREF _Toc23774 \h </w:instrText>
      </w:r>
      <w:r>
        <w:fldChar w:fldCharType="separate"/>
      </w:r>
      <w:r>
        <w:t>5</w:t>
      </w:r>
      <w:r>
        <w:fldChar w:fldCharType="end"/>
      </w:r>
      <w:r>
        <w:fldChar w:fldCharType="end"/>
      </w:r>
    </w:p>
    <w:p>
      <w:pPr>
        <w:pStyle w:val="12"/>
        <w:tabs>
          <w:tab w:val="right" w:leader="dot" w:pos="8306"/>
        </w:tabs>
        <w:ind w:left="560" w:firstLine="560"/>
      </w:pPr>
      <w:r>
        <w:fldChar w:fldCharType="begin"/>
      </w:r>
      <w:r>
        <w:instrText xml:space="preserve"> HYPERLINK \l "_Toc3608" </w:instrText>
      </w:r>
      <w:r>
        <w:fldChar w:fldCharType="separate"/>
      </w:r>
      <w:r>
        <w:rPr>
          <w:rFonts w:hint="eastAsia" w:ascii="Cambria" w:hAnsi="Cambria" w:cs="Times New Roman"/>
          <w:bCs/>
          <w:kern w:val="0"/>
          <w:szCs w:val="32"/>
        </w:rPr>
        <w:t>（二） 土地利用效率情况</w:t>
      </w:r>
      <w:r>
        <w:tab/>
      </w:r>
      <w:r>
        <w:fldChar w:fldCharType="begin"/>
      </w:r>
      <w:r>
        <w:instrText xml:space="preserve"> PAGEREF _Toc3608 \h </w:instrText>
      </w:r>
      <w:r>
        <w:fldChar w:fldCharType="separate"/>
      </w:r>
      <w:r>
        <w:t>5</w:t>
      </w:r>
      <w:r>
        <w:fldChar w:fldCharType="end"/>
      </w:r>
      <w:r>
        <w:fldChar w:fldCharType="end"/>
      </w:r>
    </w:p>
    <w:p>
      <w:pPr>
        <w:pStyle w:val="12"/>
        <w:tabs>
          <w:tab w:val="right" w:leader="dot" w:pos="8306"/>
        </w:tabs>
        <w:ind w:left="560" w:firstLine="560"/>
      </w:pPr>
      <w:r>
        <w:fldChar w:fldCharType="begin"/>
      </w:r>
      <w:r>
        <w:instrText xml:space="preserve"> HYPERLINK \l "_Toc18672" </w:instrText>
      </w:r>
      <w:r>
        <w:fldChar w:fldCharType="separate"/>
      </w:r>
      <w:r>
        <w:rPr>
          <w:rFonts w:hint="eastAsia" w:ascii="Cambria" w:hAnsi="Cambria" w:cs="Times New Roman"/>
          <w:bCs/>
          <w:kern w:val="0"/>
          <w:szCs w:val="32"/>
        </w:rPr>
        <w:t>（三）已批准土地征收成片开发方案实施情况</w:t>
      </w:r>
      <w:r>
        <w:tab/>
      </w:r>
      <w:r>
        <w:fldChar w:fldCharType="begin"/>
      </w:r>
      <w:r>
        <w:instrText xml:space="preserve"> PAGEREF _Toc18672 \h </w:instrText>
      </w:r>
      <w:r>
        <w:fldChar w:fldCharType="separate"/>
      </w:r>
      <w:r>
        <w:t>6</w:t>
      </w:r>
      <w:r>
        <w:fldChar w:fldCharType="end"/>
      </w:r>
      <w:r>
        <w:fldChar w:fldCharType="end"/>
      </w:r>
    </w:p>
    <w:p>
      <w:pPr>
        <w:pStyle w:val="10"/>
        <w:tabs>
          <w:tab w:val="right" w:leader="dot" w:pos="8306"/>
        </w:tabs>
        <w:ind w:firstLine="560"/>
      </w:pPr>
      <w:r>
        <w:fldChar w:fldCharType="begin"/>
      </w:r>
      <w:r>
        <w:instrText xml:space="preserve"> HYPERLINK \l "_Toc3587" </w:instrText>
      </w:r>
      <w:r>
        <w:fldChar w:fldCharType="separate"/>
      </w:r>
      <w:r>
        <w:rPr>
          <w:rFonts w:hint="eastAsia"/>
        </w:rPr>
        <w:t>三、 基本情况</w:t>
      </w:r>
      <w:r>
        <w:tab/>
      </w:r>
      <w:r>
        <w:fldChar w:fldCharType="begin"/>
      </w:r>
      <w:r>
        <w:instrText xml:space="preserve"> PAGEREF _Toc3587 \h </w:instrText>
      </w:r>
      <w:r>
        <w:fldChar w:fldCharType="separate"/>
      </w:r>
      <w:r>
        <w:t>7</w:t>
      </w:r>
      <w:r>
        <w:fldChar w:fldCharType="end"/>
      </w:r>
      <w:r>
        <w:fldChar w:fldCharType="end"/>
      </w:r>
    </w:p>
    <w:p>
      <w:pPr>
        <w:pStyle w:val="12"/>
        <w:tabs>
          <w:tab w:val="right" w:leader="dot" w:pos="8306"/>
        </w:tabs>
        <w:ind w:left="560" w:firstLine="560"/>
      </w:pPr>
      <w:r>
        <w:fldChar w:fldCharType="begin"/>
      </w:r>
      <w:r>
        <w:instrText xml:space="preserve"> HYPERLINK \l "_Toc31334" </w:instrText>
      </w:r>
      <w:r>
        <w:fldChar w:fldCharType="separate"/>
      </w:r>
      <w:r>
        <w:rPr>
          <w:rFonts w:hint="eastAsia"/>
          <w:bCs/>
        </w:rPr>
        <w:t>（一）成片开发位置、范围、面积</w:t>
      </w:r>
      <w:r>
        <w:tab/>
      </w:r>
      <w:r>
        <w:fldChar w:fldCharType="begin"/>
      </w:r>
      <w:r>
        <w:instrText xml:space="preserve"> PAGEREF _Toc31334 \h </w:instrText>
      </w:r>
      <w:r>
        <w:fldChar w:fldCharType="separate"/>
      </w:r>
      <w:r>
        <w:t>7</w:t>
      </w:r>
      <w:r>
        <w:fldChar w:fldCharType="end"/>
      </w:r>
      <w:r>
        <w:fldChar w:fldCharType="end"/>
      </w:r>
    </w:p>
    <w:p>
      <w:pPr>
        <w:pStyle w:val="12"/>
        <w:tabs>
          <w:tab w:val="right" w:leader="dot" w:pos="8306"/>
        </w:tabs>
        <w:ind w:left="560" w:firstLine="560"/>
      </w:pPr>
      <w:r>
        <w:fldChar w:fldCharType="begin"/>
      </w:r>
      <w:r>
        <w:instrText xml:space="preserve"> HYPERLINK \l "_Toc27931" </w:instrText>
      </w:r>
      <w:r>
        <w:fldChar w:fldCharType="separate"/>
      </w:r>
      <w:r>
        <w:rPr>
          <w:rFonts w:hint="eastAsia"/>
        </w:rPr>
        <w:t>（二）基础设施条件</w:t>
      </w:r>
      <w:r>
        <w:tab/>
      </w:r>
      <w:r>
        <w:fldChar w:fldCharType="begin"/>
      </w:r>
      <w:r>
        <w:instrText xml:space="preserve"> PAGEREF _Toc27931 \h </w:instrText>
      </w:r>
      <w:r>
        <w:fldChar w:fldCharType="separate"/>
      </w:r>
      <w:r>
        <w:t>7</w:t>
      </w:r>
      <w:r>
        <w:fldChar w:fldCharType="end"/>
      </w:r>
      <w:r>
        <w:fldChar w:fldCharType="end"/>
      </w:r>
    </w:p>
    <w:p>
      <w:pPr>
        <w:pStyle w:val="12"/>
        <w:tabs>
          <w:tab w:val="right" w:leader="dot" w:pos="8306"/>
        </w:tabs>
        <w:ind w:left="560" w:firstLine="560"/>
      </w:pPr>
      <w:r>
        <w:fldChar w:fldCharType="begin"/>
      </w:r>
      <w:r>
        <w:instrText xml:space="preserve"> HYPERLINK \l "_Toc27984" </w:instrText>
      </w:r>
      <w:r>
        <w:fldChar w:fldCharType="separate"/>
      </w:r>
      <w:r>
        <w:rPr>
          <w:rFonts w:hint="eastAsia"/>
          <w:bCs/>
        </w:rPr>
        <w:t>（三）实施周期</w:t>
      </w:r>
      <w:r>
        <w:tab/>
      </w:r>
      <w:r>
        <w:fldChar w:fldCharType="begin"/>
      </w:r>
      <w:r>
        <w:instrText xml:space="preserve"> PAGEREF _Toc27984 \h </w:instrText>
      </w:r>
      <w:r>
        <w:fldChar w:fldCharType="separate"/>
      </w:r>
      <w:r>
        <w:t>8</w:t>
      </w:r>
      <w:r>
        <w:fldChar w:fldCharType="end"/>
      </w:r>
      <w:r>
        <w:fldChar w:fldCharType="end"/>
      </w:r>
    </w:p>
    <w:p>
      <w:pPr>
        <w:pStyle w:val="10"/>
        <w:tabs>
          <w:tab w:val="right" w:leader="dot" w:pos="8306"/>
        </w:tabs>
        <w:ind w:firstLine="560"/>
      </w:pPr>
      <w:r>
        <w:fldChar w:fldCharType="begin"/>
      </w:r>
      <w:r>
        <w:instrText xml:space="preserve"> HYPERLINK \l "_Toc9194" </w:instrText>
      </w:r>
      <w:r>
        <w:fldChar w:fldCharType="separate"/>
      </w:r>
      <w:r>
        <w:rPr>
          <w:rFonts w:hint="eastAsia"/>
        </w:rPr>
        <w:t>四、 必要性分析</w:t>
      </w:r>
      <w:r>
        <w:tab/>
      </w:r>
      <w:r>
        <w:fldChar w:fldCharType="begin"/>
      </w:r>
      <w:r>
        <w:instrText xml:space="preserve"> PAGEREF _Toc9194 \h </w:instrText>
      </w:r>
      <w:r>
        <w:fldChar w:fldCharType="separate"/>
      </w:r>
      <w:r>
        <w:t>9</w:t>
      </w:r>
      <w:r>
        <w:fldChar w:fldCharType="end"/>
      </w:r>
      <w:r>
        <w:fldChar w:fldCharType="end"/>
      </w:r>
    </w:p>
    <w:p>
      <w:pPr>
        <w:pStyle w:val="12"/>
        <w:tabs>
          <w:tab w:val="right" w:leader="dot" w:pos="8306"/>
        </w:tabs>
        <w:ind w:left="560" w:firstLine="560"/>
      </w:pPr>
      <w:r>
        <w:fldChar w:fldCharType="begin"/>
      </w:r>
      <w:r>
        <w:instrText xml:space="preserve"> HYPERLINK \l "_Toc23007" </w:instrText>
      </w:r>
      <w:r>
        <w:fldChar w:fldCharType="separate"/>
      </w:r>
      <w:r>
        <w:rPr>
          <w:rFonts w:hint="eastAsia"/>
        </w:rPr>
        <w:t>（一）符合城市发展需求，解决中心城区居住用地不足的需要</w:t>
      </w:r>
      <w:r>
        <w:tab/>
      </w:r>
      <w:r>
        <w:fldChar w:fldCharType="begin"/>
      </w:r>
      <w:r>
        <w:instrText xml:space="preserve"> PAGEREF _Toc23007 \h </w:instrText>
      </w:r>
      <w:r>
        <w:fldChar w:fldCharType="separate"/>
      </w:r>
      <w:r>
        <w:t>9</w:t>
      </w:r>
      <w:r>
        <w:fldChar w:fldCharType="end"/>
      </w:r>
      <w:r>
        <w:fldChar w:fldCharType="end"/>
      </w:r>
    </w:p>
    <w:p>
      <w:pPr>
        <w:pStyle w:val="12"/>
        <w:tabs>
          <w:tab w:val="right" w:leader="dot" w:pos="8306"/>
        </w:tabs>
        <w:ind w:left="560" w:firstLine="560"/>
      </w:pPr>
      <w:r>
        <w:fldChar w:fldCharType="begin"/>
      </w:r>
      <w:r>
        <w:instrText xml:space="preserve"> HYPERLINK \l "_Toc27745" </w:instrText>
      </w:r>
      <w:r>
        <w:fldChar w:fldCharType="separate"/>
      </w:r>
      <w:r>
        <w:rPr>
          <w:rFonts w:hint="eastAsia"/>
        </w:rPr>
        <w:t>（二）调整中心城区可建设空间，提升地区服务设施配套</w:t>
      </w:r>
      <w:r>
        <w:tab/>
      </w:r>
      <w:r>
        <w:fldChar w:fldCharType="begin"/>
      </w:r>
      <w:r>
        <w:instrText xml:space="preserve"> PAGEREF _Toc27745 \h </w:instrText>
      </w:r>
      <w:r>
        <w:fldChar w:fldCharType="separate"/>
      </w:r>
      <w:r>
        <w:t>9</w:t>
      </w:r>
      <w:r>
        <w:fldChar w:fldCharType="end"/>
      </w:r>
      <w:r>
        <w:fldChar w:fldCharType="end"/>
      </w:r>
    </w:p>
    <w:p>
      <w:pPr>
        <w:pStyle w:val="12"/>
        <w:tabs>
          <w:tab w:val="right" w:leader="dot" w:pos="8306"/>
        </w:tabs>
        <w:ind w:left="560" w:firstLine="560"/>
      </w:pPr>
      <w:r>
        <w:fldChar w:fldCharType="begin"/>
      </w:r>
      <w:r>
        <w:instrText xml:space="preserve"> HYPERLINK \l "_Toc4773" </w:instrText>
      </w:r>
      <w:r>
        <w:fldChar w:fldCharType="separate"/>
      </w:r>
      <w:r>
        <w:rPr>
          <w:rFonts w:hint="eastAsia"/>
        </w:rPr>
        <w:t>（三）提升中心城区居住环境的途径</w:t>
      </w:r>
      <w:r>
        <w:tab/>
      </w:r>
      <w:r>
        <w:fldChar w:fldCharType="begin"/>
      </w:r>
      <w:r>
        <w:instrText xml:space="preserve"> PAGEREF _Toc4773 \h </w:instrText>
      </w:r>
      <w:r>
        <w:fldChar w:fldCharType="separate"/>
      </w:r>
      <w:r>
        <w:t>10</w:t>
      </w:r>
      <w:r>
        <w:fldChar w:fldCharType="end"/>
      </w:r>
      <w:r>
        <w:fldChar w:fldCharType="end"/>
      </w:r>
    </w:p>
    <w:p>
      <w:pPr>
        <w:pStyle w:val="12"/>
        <w:tabs>
          <w:tab w:val="right" w:leader="dot" w:pos="8306"/>
        </w:tabs>
        <w:ind w:left="560" w:firstLine="560"/>
      </w:pPr>
      <w:r>
        <w:fldChar w:fldCharType="begin"/>
      </w:r>
      <w:r>
        <w:instrText xml:space="preserve"> HYPERLINK \l "_Toc21931" </w:instrText>
      </w:r>
      <w:r>
        <w:fldChar w:fldCharType="separate"/>
      </w:r>
      <w:r>
        <w:rPr>
          <w:rFonts w:hint="eastAsia"/>
          <w:bCs/>
          <w:szCs w:val="32"/>
        </w:rPr>
        <w:t>（四）加快中心城区发展，促进产城融合</w:t>
      </w:r>
      <w:r>
        <w:tab/>
      </w:r>
      <w:r>
        <w:fldChar w:fldCharType="begin"/>
      </w:r>
      <w:r>
        <w:instrText xml:space="preserve"> PAGEREF _Toc21931 \h </w:instrText>
      </w:r>
      <w:r>
        <w:fldChar w:fldCharType="separate"/>
      </w:r>
      <w:r>
        <w:t>11</w:t>
      </w:r>
      <w:r>
        <w:fldChar w:fldCharType="end"/>
      </w:r>
      <w:r>
        <w:fldChar w:fldCharType="end"/>
      </w:r>
    </w:p>
    <w:p>
      <w:pPr>
        <w:pStyle w:val="10"/>
        <w:tabs>
          <w:tab w:val="right" w:leader="dot" w:pos="8306"/>
        </w:tabs>
        <w:ind w:firstLine="560"/>
      </w:pPr>
      <w:r>
        <w:fldChar w:fldCharType="begin"/>
      </w:r>
      <w:r>
        <w:instrText xml:space="preserve"> HYPERLINK \l "_Toc15765" </w:instrText>
      </w:r>
      <w:r>
        <w:fldChar w:fldCharType="separate"/>
      </w:r>
      <w:r>
        <w:rPr>
          <w:rFonts w:hint="eastAsia"/>
          <w:bCs/>
        </w:rPr>
        <w:t xml:space="preserve">五、 </w:t>
      </w:r>
      <w:r>
        <w:rPr>
          <w:rFonts w:hint="eastAsia"/>
        </w:rPr>
        <w:t>主要用途、实现功能及公益性用地比例</w:t>
      </w:r>
      <w:r>
        <w:tab/>
      </w:r>
      <w:r>
        <w:fldChar w:fldCharType="begin"/>
      </w:r>
      <w:r>
        <w:instrText xml:space="preserve"> PAGEREF _Toc15765 \h </w:instrText>
      </w:r>
      <w:r>
        <w:fldChar w:fldCharType="separate"/>
      </w:r>
      <w:r>
        <w:t>12</w:t>
      </w:r>
      <w:r>
        <w:fldChar w:fldCharType="end"/>
      </w:r>
      <w:r>
        <w:fldChar w:fldCharType="end"/>
      </w:r>
    </w:p>
    <w:p>
      <w:pPr>
        <w:pStyle w:val="10"/>
        <w:tabs>
          <w:tab w:val="right" w:leader="dot" w:pos="8306"/>
        </w:tabs>
        <w:ind w:firstLine="560"/>
      </w:pPr>
      <w:r>
        <w:fldChar w:fldCharType="begin"/>
      </w:r>
      <w:r>
        <w:instrText xml:space="preserve"> HYPERLINK \l "_Toc15254" </w:instrText>
      </w:r>
      <w:r>
        <w:fldChar w:fldCharType="separate"/>
      </w:r>
      <w:r>
        <w:rPr>
          <w:rFonts w:hint="eastAsia"/>
        </w:rPr>
        <w:t>六、 拟建项目及实施计划</w:t>
      </w:r>
      <w:r>
        <w:tab/>
      </w:r>
      <w:r>
        <w:fldChar w:fldCharType="begin"/>
      </w:r>
      <w:r>
        <w:instrText xml:space="preserve"> PAGEREF _Toc15254 \h </w:instrText>
      </w:r>
      <w:r>
        <w:fldChar w:fldCharType="separate"/>
      </w:r>
      <w:r>
        <w:t>15</w:t>
      </w:r>
      <w:r>
        <w:fldChar w:fldCharType="end"/>
      </w:r>
      <w:r>
        <w:fldChar w:fldCharType="end"/>
      </w:r>
    </w:p>
    <w:p>
      <w:pPr>
        <w:pStyle w:val="10"/>
        <w:tabs>
          <w:tab w:val="right" w:leader="dot" w:pos="8306"/>
        </w:tabs>
        <w:ind w:firstLine="560"/>
      </w:pPr>
      <w:r>
        <w:fldChar w:fldCharType="begin"/>
      </w:r>
      <w:r>
        <w:instrText xml:space="preserve"> HYPERLINK \l "_Toc1601" </w:instrText>
      </w:r>
      <w:r>
        <w:fldChar w:fldCharType="separate"/>
      </w:r>
      <w:r>
        <w:rPr>
          <w:rFonts w:hint="eastAsia"/>
        </w:rPr>
        <w:t>七、 合规性分析</w:t>
      </w:r>
      <w:r>
        <w:tab/>
      </w:r>
      <w:r>
        <w:fldChar w:fldCharType="begin"/>
      </w:r>
      <w:r>
        <w:instrText xml:space="preserve"> PAGEREF _Toc1601 \h </w:instrText>
      </w:r>
      <w:r>
        <w:fldChar w:fldCharType="separate"/>
      </w:r>
      <w:r>
        <w:t>16</w:t>
      </w:r>
      <w:r>
        <w:fldChar w:fldCharType="end"/>
      </w:r>
      <w:r>
        <w:fldChar w:fldCharType="end"/>
      </w:r>
    </w:p>
    <w:p>
      <w:pPr>
        <w:pStyle w:val="12"/>
        <w:tabs>
          <w:tab w:val="right" w:leader="dot" w:pos="8306"/>
        </w:tabs>
        <w:ind w:left="560" w:firstLine="560"/>
      </w:pPr>
      <w:r>
        <w:fldChar w:fldCharType="begin"/>
      </w:r>
      <w:r>
        <w:instrText xml:space="preserve"> HYPERLINK \l "_Toc26214" </w:instrText>
      </w:r>
      <w:r>
        <w:fldChar w:fldCharType="separate"/>
      </w:r>
      <w:r>
        <w:rPr>
          <w:rFonts w:hint="eastAsia"/>
        </w:rPr>
        <w:t>（一）</w:t>
      </w:r>
      <w:r>
        <w:rPr>
          <w:rFonts w:hint="eastAsia" w:cs="Times New Roman"/>
        </w:rPr>
        <w:t>国土空间规划</w:t>
      </w:r>
      <w:r>
        <w:tab/>
      </w:r>
      <w:r>
        <w:fldChar w:fldCharType="begin"/>
      </w:r>
      <w:r>
        <w:instrText xml:space="preserve"> PAGEREF _Toc26214 \h </w:instrText>
      </w:r>
      <w:r>
        <w:fldChar w:fldCharType="separate"/>
      </w:r>
      <w:r>
        <w:t>16</w:t>
      </w:r>
      <w:r>
        <w:fldChar w:fldCharType="end"/>
      </w:r>
      <w:r>
        <w:fldChar w:fldCharType="end"/>
      </w:r>
    </w:p>
    <w:p>
      <w:pPr>
        <w:pStyle w:val="12"/>
        <w:tabs>
          <w:tab w:val="right" w:leader="dot" w:pos="8306"/>
        </w:tabs>
        <w:ind w:left="560" w:firstLine="560"/>
      </w:pPr>
      <w:r>
        <w:fldChar w:fldCharType="begin"/>
      </w:r>
      <w:r>
        <w:instrText xml:space="preserve"> HYPERLINK \l "_Toc6900" </w:instrText>
      </w:r>
      <w:r>
        <w:fldChar w:fldCharType="separate"/>
      </w:r>
      <w:r>
        <w:rPr>
          <w:rFonts w:hint="eastAsia"/>
        </w:rPr>
        <w:t>（二）国民经济和社会发展规划、年度计划</w:t>
      </w:r>
      <w:r>
        <w:tab/>
      </w:r>
      <w:r>
        <w:fldChar w:fldCharType="begin"/>
      </w:r>
      <w:r>
        <w:instrText xml:space="preserve"> PAGEREF _Toc6900 \h </w:instrText>
      </w:r>
      <w:r>
        <w:fldChar w:fldCharType="separate"/>
      </w:r>
      <w:r>
        <w:t>16</w:t>
      </w:r>
      <w:r>
        <w:fldChar w:fldCharType="end"/>
      </w:r>
      <w:r>
        <w:fldChar w:fldCharType="end"/>
      </w:r>
    </w:p>
    <w:p>
      <w:pPr>
        <w:pStyle w:val="12"/>
        <w:tabs>
          <w:tab w:val="right" w:leader="dot" w:pos="8306"/>
        </w:tabs>
        <w:ind w:left="560" w:firstLine="560"/>
      </w:pPr>
      <w:r>
        <w:fldChar w:fldCharType="begin"/>
      </w:r>
      <w:r>
        <w:instrText xml:space="preserve"> HYPERLINK \l "_Toc32263" </w:instrText>
      </w:r>
      <w:r>
        <w:fldChar w:fldCharType="separate"/>
      </w:r>
      <w:r>
        <w:rPr>
          <w:rFonts w:hint="eastAsia"/>
          <w:bCs/>
          <w:szCs w:val="32"/>
        </w:rPr>
        <w:t>（三）占用永久基本农田和其他法律法规规定不允许占用或开发的各类需要特殊保护的区域情况</w:t>
      </w:r>
      <w:r>
        <w:tab/>
      </w:r>
      <w:r>
        <w:fldChar w:fldCharType="begin"/>
      </w:r>
      <w:r>
        <w:instrText xml:space="preserve"> PAGEREF _Toc32263 \h </w:instrText>
      </w:r>
      <w:r>
        <w:fldChar w:fldCharType="separate"/>
      </w:r>
      <w:r>
        <w:t>17</w:t>
      </w:r>
      <w:r>
        <w:fldChar w:fldCharType="end"/>
      </w:r>
      <w:r>
        <w:fldChar w:fldCharType="end"/>
      </w:r>
    </w:p>
    <w:p>
      <w:pPr>
        <w:pStyle w:val="10"/>
        <w:tabs>
          <w:tab w:val="right" w:leader="dot" w:pos="8306"/>
        </w:tabs>
        <w:ind w:firstLine="560"/>
      </w:pPr>
      <w:r>
        <w:fldChar w:fldCharType="begin"/>
      </w:r>
      <w:r>
        <w:instrText xml:space="preserve"> HYPERLINK \l "_Toc5004" </w:instrText>
      </w:r>
      <w:r>
        <w:fldChar w:fldCharType="separate"/>
      </w:r>
      <w:r>
        <w:rPr>
          <w:rFonts w:hint="eastAsia"/>
        </w:rPr>
        <w:t>八、 效益评估</w:t>
      </w:r>
      <w:r>
        <w:tab/>
      </w:r>
      <w:r>
        <w:fldChar w:fldCharType="begin"/>
      </w:r>
      <w:r>
        <w:instrText xml:space="preserve"> PAGEREF _Toc5004 \h </w:instrText>
      </w:r>
      <w:r>
        <w:fldChar w:fldCharType="separate"/>
      </w:r>
      <w:r>
        <w:t>19</w:t>
      </w:r>
      <w:r>
        <w:fldChar w:fldCharType="end"/>
      </w:r>
      <w:r>
        <w:fldChar w:fldCharType="end"/>
      </w:r>
    </w:p>
    <w:p>
      <w:pPr>
        <w:pStyle w:val="12"/>
        <w:tabs>
          <w:tab w:val="right" w:leader="dot" w:pos="8306"/>
        </w:tabs>
        <w:ind w:left="560" w:firstLine="560"/>
      </w:pPr>
      <w:r>
        <w:fldChar w:fldCharType="begin"/>
      </w:r>
      <w:r>
        <w:instrText xml:space="preserve"> HYPERLINK \l "_Toc5106" </w:instrText>
      </w:r>
      <w:r>
        <w:fldChar w:fldCharType="separate"/>
      </w:r>
      <w:r>
        <w:t>（一）土地利用效益</w:t>
      </w:r>
      <w:r>
        <w:tab/>
      </w:r>
      <w:r>
        <w:fldChar w:fldCharType="begin"/>
      </w:r>
      <w:r>
        <w:instrText xml:space="preserve"> PAGEREF _Toc5106 \h </w:instrText>
      </w:r>
      <w:r>
        <w:fldChar w:fldCharType="separate"/>
      </w:r>
      <w:r>
        <w:t>19</w:t>
      </w:r>
      <w:r>
        <w:fldChar w:fldCharType="end"/>
      </w:r>
      <w:r>
        <w:fldChar w:fldCharType="end"/>
      </w:r>
    </w:p>
    <w:p>
      <w:pPr>
        <w:pStyle w:val="12"/>
        <w:tabs>
          <w:tab w:val="right" w:leader="dot" w:pos="8306"/>
        </w:tabs>
        <w:ind w:left="560" w:firstLine="560"/>
      </w:pPr>
      <w:r>
        <w:fldChar w:fldCharType="begin"/>
      </w:r>
      <w:r>
        <w:instrText xml:space="preserve"> HYPERLINK \l "_Toc6218" </w:instrText>
      </w:r>
      <w:r>
        <w:fldChar w:fldCharType="separate"/>
      </w:r>
      <w:r>
        <w:rPr>
          <w:rFonts w:hint="eastAsia"/>
          <w:szCs w:val="32"/>
        </w:rPr>
        <w:t>（二）经济效益</w:t>
      </w:r>
      <w:r>
        <w:tab/>
      </w:r>
      <w:r>
        <w:fldChar w:fldCharType="begin"/>
      </w:r>
      <w:r>
        <w:instrText xml:space="preserve"> PAGEREF _Toc6218 \h </w:instrText>
      </w:r>
      <w:r>
        <w:fldChar w:fldCharType="separate"/>
      </w:r>
      <w:r>
        <w:t>19</w:t>
      </w:r>
      <w:r>
        <w:fldChar w:fldCharType="end"/>
      </w:r>
      <w:r>
        <w:fldChar w:fldCharType="end"/>
      </w:r>
    </w:p>
    <w:p>
      <w:pPr>
        <w:pStyle w:val="12"/>
        <w:tabs>
          <w:tab w:val="right" w:leader="dot" w:pos="8306"/>
        </w:tabs>
        <w:ind w:left="560" w:firstLine="560"/>
      </w:pPr>
      <w:r>
        <w:fldChar w:fldCharType="begin"/>
      </w:r>
      <w:r>
        <w:instrText xml:space="preserve"> HYPERLINK \l "_Toc24918" </w:instrText>
      </w:r>
      <w:r>
        <w:fldChar w:fldCharType="separate"/>
      </w:r>
      <w:r>
        <w:rPr>
          <w:rFonts w:hint="eastAsia"/>
          <w:szCs w:val="32"/>
        </w:rPr>
        <w:t>（三）社会效益</w:t>
      </w:r>
      <w:r>
        <w:tab/>
      </w:r>
      <w:r>
        <w:fldChar w:fldCharType="begin"/>
      </w:r>
      <w:r>
        <w:instrText xml:space="preserve"> PAGEREF _Toc24918 \h </w:instrText>
      </w:r>
      <w:r>
        <w:fldChar w:fldCharType="separate"/>
      </w:r>
      <w:r>
        <w:t>20</w:t>
      </w:r>
      <w:r>
        <w:fldChar w:fldCharType="end"/>
      </w:r>
      <w:r>
        <w:fldChar w:fldCharType="end"/>
      </w:r>
    </w:p>
    <w:p>
      <w:pPr>
        <w:pStyle w:val="12"/>
        <w:tabs>
          <w:tab w:val="right" w:leader="dot" w:pos="8306"/>
        </w:tabs>
        <w:ind w:left="560" w:firstLine="560"/>
      </w:pPr>
      <w:r>
        <w:fldChar w:fldCharType="begin"/>
      </w:r>
      <w:r>
        <w:instrText xml:space="preserve"> HYPERLINK \l "_Toc4076" </w:instrText>
      </w:r>
      <w:r>
        <w:fldChar w:fldCharType="separate"/>
      </w:r>
      <w:r>
        <w:t>（</w:t>
      </w:r>
      <w:r>
        <w:rPr>
          <w:rFonts w:hint="eastAsia"/>
        </w:rPr>
        <w:t>四</w:t>
      </w:r>
      <w:r>
        <w:t>）生态效益</w:t>
      </w:r>
      <w:r>
        <w:tab/>
      </w:r>
      <w:r>
        <w:fldChar w:fldCharType="begin"/>
      </w:r>
      <w:r>
        <w:instrText xml:space="preserve"> PAGEREF _Toc4076 \h </w:instrText>
      </w:r>
      <w:r>
        <w:fldChar w:fldCharType="separate"/>
      </w:r>
      <w:r>
        <w:t>21</w:t>
      </w:r>
      <w:r>
        <w:fldChar w:fldCharType="end"/>
      </w:r>
      <w:r>
        <w:fldChar w:fldCharType="end"/>
      </w:r>
    </w:p>
    <w:p>
      <w:pPr>
        <w:pStyle w:val="10"/>
        <w:tabs>
          <w:tab w:val="right" w:leader="dot" w:pos="8306"/>
        </w:tabs>
        <w:ind w:firstLine="560"/>
      </w:pPr>
      <w:r>
        <w:fldChar w:fldCharType="begin"/>
      </w:r>
      <w:r>
        <w:instrText xml:space="preserve"> HYPERLINK \l "_Toc813" </w:instrText>
      </w:r>
      <w:r>
        <w:fldChar w:fldCharType="separate"/>
      </w:r>
      <w:r>
        <w:rPr>
          <w:rFonts w:hint="eastAsia"/>
        </w:rPr>
        <w:t>九、 征求意见情况</w:t>
      </w:r>
      <w:r>
        <w:tab/>
      </w:r>
      <w:r>
        <w:fldChar w:fldCharType="begin"/>
      </w:r>
      <w:r>
        <w:instrText xml:space="preserve"> PAGEREF _Toc813 \h </w:instrText>
      </w:r>
      <w:r>
        <w:fldChar w:fldCharType="separate"/>
      </w:r>
      <w:r>
        <w:t>23</w:t>
      </w:r>
      <w:r>
        <w:fldChar w:fldCharType="end"/>
      </w:r>
      <w:r>
        <w:fldChar w:fldCharType="end"/>
      </w:r>
    </w:p>
    <w:p>
      <w:pPr>
        <w:pStyle w:val="12"/>
        <w:tabs>
          <w:tab w:val="right" w:leader="dot" w:pos="8306"/>
        </w:tabs>
        <w:ind w:left="560" w:firstLine="560"/>
      </w:pPr>
      <w:r>
        <w:fldChar w:fldCharType="begin"/>
      </w:r>
      <w:r>
        <w:instrText xml:space="preserve"> HYPERLINK \l "_Toc6094" </w:instrText>
      </w:r>
      <w:r>
        <w:fldChar w:fldCharType="separate"/>
      </w:r>
      <w:r>
        <w:rPr>
          <w:rFonts w:hint="eastAsia"/>
          <w:bCs/>
          <w:szCs w:val="32"/>
        </w:rPr>
        <w:t>（一）听取人大代表、政协委员、社会公众和有关专家学者意见</w:t>
      </w:r>
      <w:r>
        <w:tab/>
      </w:r>
      <w:r>
        <w:fldChar w:fldCharType="begin"/>
      </w:r>
      <w:r>
        <w:instrText xml:space="preserve"> PAGEREF _Toc6094 \h </w:instrText>
      </w:r>
      <w:r>
        <w:fldChar w:fldCharType="separate"/>
      </w:r>
      <w:r>
        <w:t>23</w:t>
      </w:r>
      <w:r>
        <w:fldChar w:fldCharType="end"/>
      </w:r>
      <w:r>
        <w:fldChar w:fldCharType="end"/>
      </w:r>
    </w:p>
    <w:p>
      <w:pPr>
        <w:pStyle w:val="12"/>
        <w:tabs>
          <w:tab w:val="right" w:leader="dot" w:pos="8306"/>
        </w:tabs>
        <w:ind w:left="560" w:firstLine="560"/>
      </w:pPr>
      <w:r>
        <w:fldChar w:fldCharType="begin"/>
      </w:r>
      <w:r>
        <w:instrText xml:space="preserve"> HYPERLINK \l "_Toc3185" </w:instrText>
      </w:r>
      <w:r>
        <w:fldChar w:fldCharType="separate"/>
      </w:r>
      <w:r>
        <w:rPr>
          <w:rFonts w:hint="eastAsia"/>
          <w:bCs/>
          <w:szCs w:val="32"/>
        </w:rPr>
        <w:t>（二）征求集体经济组织和农民意见情况</w:t>
      </w:r>
      <w:r>
        <w:tab/>
      </w:r>
      <w:r>
        <w:fldChar w:fldCharType="begin"/>
      </w:r>
      <w:r>
        <w:instrText xml:space="preserve"> PAGEREF _Toc3185 \h </w:instrText>
      </w:r>
      <w:r>
        <w:fldChar w:fldCharType="separate"/>
      </w:r>
      <w:r>
        <w:t>23</w:t>
      </w:r>
      <w:r>
        <w:fldChar w:fldCharType="end"/>
      </w:r>
      <w:r>
        <w:fldChar w:fldCharType="end"/>
      </w:r>
    </w:p>
    <w:p>
      <w:pPr>
        <w:pStyle w:val="12"/>
        <w:tabs>
          <w:tab w:val="right" w:leader="dot" w:pos="8306"/>
        </w:tabs>
        <w:ind w:left="560" w:firstLine="560"/>
      </w:pPr>
      <w:r>
        <w:fldChar w:fldCharType="begin"/>
      </w:r>
      <w:r>
        <w:instrText xml:space="preserve"> HYPERLINK \l "_Toc24040" </w:instrText>
      </w:r>
      <w:r>
        <w:fldChar w:fldCharType="separate"/>
      </w:r>
      <w:r>
        <w:rPr>
          <w:rFonts w:hint="eastAsia"/>
          <w:bCs/>
          <w:szCs w:val="32"/>
        </w:rPr>
        <w:t>（三）公告公示情况</w:t>
      </w:r>
      <w:r>
        <w:tab/>
      </w:r>
      <w:r>
        <w:fldChar w:fldCharType="begin"/>
      </w:r>
      <w:r>
        <w:instrText xml:space="preserve"> PAGEREF _Toc24040 \h </w:instrText>
      </w:r>
      <w:r>
        <w:fldChar w:fldCharType="separate"/>
      </w:r>
      <w:r>
        <w:t>24</w:t>
      </w:r>
      <w:r>
        <w:fldChar w:fldCharType="end"/>
      </w:r>
      <w:r>
        <w:fldChar w:fldCharType="end"/>
      </w:r>
    </w:p>
    <w:p>
      <w:pPr>
        <w:pStyle w:val="10"/>
        <w:tabs>
          <w:tab w:val="right" w:leader="dot" w:pos="8306"/>
        </w:tabs>
        <w:ind w:firstLine="560"/>
      </w:pPr>
      <w:r>
        <w:fldChar w:fldCharType="begin"/>
      </w:r>
      <w:r>
        <w:instrText xml:space="preserve"> HYPERLINK \l "_Toc18064" </w:instrText>
      </w:r>
      <w:r>
        <w:fldChar w:fldCharType="separate"/>
      </w:r>
      <w:r>
        <w:rPr>
          <w:rFonts w:hint="eastAsia"/>
        </w:rPr>
        <w:t>十、结论</w:t>
      </w:r>
      <w:r>
        <w:tab/>
      </w:r>
      <w:r>
        <w:fldChar w:fldCharType="begin"/>
      </w:r>
      <w:r>
        <w:instrText xml:space="preserve"> PAGEREF _Toc18064 \h </w:instrText>
      </w:r>
      <w:r>
        <w:fldChar w:fldCharType="separate"/>
      </w:r>
      <w:r>
        <w:t>25</w:t>
      </w:r>
      <w:r>
        <w:fldChar w:fldCharType="end"/>
      </w:r>
      <w:r>
        <w:fldChar w:fldCharType="end"/>
      </w:r>
    </w:p>
    <w:p>
      <w:pPr>
        <w:pStyle w:val="10"/>
        <w:tabs>
          <w:tab w:val="right" w:leader="dot" w:pos="8306"/>
        </w:tabs>
        <w:ind w:firstLine="560"/>
      </w:pPr>
      <w:r>
        <w:fldChar w:fldCharType="begin"/>
      </w:r>
      <w:r>
        <w:instrText xml:space="preserve"> HYPERLINK \l "_Toc29664" </w:instrText>
      </w:r>
      <w:r>
        <w:fldChar w:fldCharType="separate"/>
      </w:r>
      <w:r>
        <w:rPr>
          <w:rFonts w:hint="eastAsia" w:cs="Times New Roman"/>
        </w:rPr>
        <w:t>十一、</w:t>
      </w:r>
      <w:r>
        <w:rPr>
          <w:rFonts w:cs="Times New Roman"/>
        </w:rPr>
        <w:t>附件</w:t>
      </w:r>
      <w:r>
        <w:tab/>
      </w:r>
      <w:r>
        <w:fldChar w:fldCharType="begin"/>
      </w:r>
      <w:r>
        <w:instrText xml:space="preserve"> PAGEREF _Toc29664 \h </w:instrText>
      </w:r>
      <w:r>
        <w:fldChar w:fldCharType="separate"/>
      </w:r>
      <w:r>
        <w:t>26</w:t>
      </w:r>
      <w:r>
        <w:fldChar w:fldCharType="end"/>
      </w:r>
      <w:r>
        <w:fldChar w:fldCharType="end"/>
      </w:r>
    </w:p>
    <w:p>
      <w:pPr>
        <w:pStyle w:val="24"/>
        <w:tabs>
          <w:tab w:val="right" w:leader="dot" w:pos="8306"/>
        </w:tabs>
        <w:rPr>
          <w:color w:val="FF0000"/>
        </w:rPr>
      </w:pPr>
      <w:r>
        <w:rPr>
          <w:color w:val="FF0000"/>
        </w:rPr>
        <w:fldChar w:fldCharType="end"/>
      </w:r>
    </w:p>
    <w:p>
      <w:pPr>
        <w:pStyle w:val="3"/>
        <w:numPr>
          <w:ilvl w:val="0"/>
          <w:numId w:val="4"/>
        </w:numPr>
        <w:spacing w:line="413" w:lineRule="auto"/>
        <w:ind w:firstLine="0" w:firstLineChars="0"/>
        <w:rPr>
          <w:color w:val="FF0000"/>
          <w:szCs w:val="32"/>
        </w:rPr>
        <w:sectPr>
          <w:pgSz w:w="11906" w:h="16838"/>
          <w:pgMar w:top="1440" w:right="1800" w:bottom="1440" w:left="1800" w:header="851" w:footer="992" w:gutter="0"/>
          <w:pgNumType w:start="1"/>
          <w:cols w:space="720" w:num="1"/>
          <w:docGrid w:type="lines" w:linePitch="312" w:charSpace="0"/>
        </w:sectPr>
      </w:pPr>
      <w:bookmarkStart w:id="0" w:name="_Toc19319_WPSOffice_Level1"/>
    </w:p>
    <w:bookmarkEnd w:id="0"/>
    <w:p>
      <w:pPr>
        <w:pStyle w:val="3"/>
        <w:ind w:firstLine="643"/>
      </w:pPr>
      <w:bookmarkStart w:id="1" w:name="_Toc23687"/>
      <w:r>
        <w:rPr>
          <w:rFonts w:hint="eastAsia"/>
        </w:rPr>
        <w:t>概述</w:t>
      </w:r>
      <w:bookmarkEnd w:id="1"/>
    </w:p>
    <w:p>
      <w:pPr>
        <w:pStyle w:val="4"/>
        <w:numPr>
          <w:ilvl w:val="0"/>
          <w:numId w:val="5"/>
        </w:numPr>
        <w:ind w:firstLine="602"/>
      </w:pPr>
      <w:bookmarkStart w:id="2" w:name="_Toc7572"/>
      <w:r>
        <w:rPr>
          <w:rFonts w:hint="eastAsia"/>
        </w:rPr>
        <w:t>编制背景</w:t>
      </w:r>
      <w:bookmarkEnd w:id="2"/>
    </w:p>
    <w:p>
      <w:pPr>
        <w:ind w:firstLine="560"/>
      </w:pPr>
      <w:r>
        <w:rPr>
          <w:rFonts w:hint="eastAsia"/>
        </w:rPr>
        <w:t>为贯彻落实《土地管理法》第四十五条的规定，2020年11月5日，自然资源部印发了《土地征收成片开发标准</w:t>
      </w:r>
      <w:r>
        <w:rPr>
          <w:rFonts w:hint="eastAsia" w:ascii="仿宋" w:hAnsi="仿宋" w:eastAsia="仿宋" w:cs="仿宋"/>
        </w:rPr>
        <w:t>(试行)》(以下简称《标准》)</w:t>
      </w:r>
      <w:r>
        <w:rPr>
          <w:rFonts w:hint="eastAsia"/>
        </w:rPr>
        <w:t>，在《标准》制定过程中，多次组织相关领域专家学者深入讨论，广泛征求并反复斟酌、充分吸收了社会各界意见，明确了土地征收成片开发报批相关要求。福建省自然资源厅相应制定《福建省土地征收成片开发方案报批实施细则（试行）》和《福建省土地征收成片开发方案编制参考指南（试行）》，进一步细化了成片开发标准、流程、土地征收成片开发方案的内容等，规范了土地征收成片开发方案审查报批工作。上述政策的出台，通盘考虑了我国和我省时下经济社会发展需求，是贯彻落实新《土地管理法》、规范土地征收成片开发方案审查报批工作、保障经济和社会发展用地需要、维护被征收农村集体经济组织和农民合法权益的需要。</w:t>
      </w:r>
    </w:p>
    <w:p>
      <w:pPr>
        <w:pStyle w:val="2"/>
        <w:spacing w:line="580" w:lineRule="exact"/>
        <w:ind w:firstLine="560"/>
        <w:rPr>
          <w:rFonts w:ascii="仿宋" w:hAnsi="仿宋" w:eastAsia="仿宋" w:cs="仿宋"/>
          <w:sz w:val="28"/>
          <w:szCs w:val="22"/>
        </w:rPr>
      </w:pPr>
      <w:r>
        <w:rPr>
          <w:rFonts w:hint="eastAsia" w:ascii="仿宋" w:hAnsi="仿宋" w:eastAsia="仿宋" w:cs="仿宋"/>
          <w:sz w:val="28"/>
          <w:szCs w:val="22"/>
        </w:rPr>
        <w:t>为进一步保证和推进三明市项目开发，保障项目落地，根据政府关于东霞富兴堡片区土地征收成片开发政策，组织编制本次土地征收“成片开发”方案。东霞富兴堡片区主要用于建设居住区和商业，位于三明市三元区老城区，现状</w:t>
      </w:r>
      <w:r>
        <w:rPr>
          <w:rFonts w:hint="eastAsia"/>
          <w:sz w:val="28"/>
          <w:szCs w:val="22"/>
        </w:rPr>
        <w:t>存在建设标准较低，小区及组团绿地缺乏。而</w:t>
      </w:r>
      <w:r>
        <w:rPr>
          <w:rFonts w:hint="eastAsia" w:ascii="仿宋" w:hAnsi="仿宋" w:eastAsia="仿宋" w:cs="仿宋"/>
          <w:sz w:val="28"/>
          <w:szCs w:val="22"/>
        </w:rPr>
        <w:t>成片开发是综合开发的基础，可以有序地将东霞富兴堡片区原有的生产、生活与生态集中性的统筹规划，进行一体化开发。通过统筹规划各类配置，综合平衡，合理布局，统一实施，将中心城区各种功能相互协调，加快中心城区的发展，调整城区可建设空间，提升居住环境，促进产城融合。有利于保障城市建设用地需求，有利于均衡完善城市功能布局，有利于提升三明市综合管理服务能力，并实现土地的综合利用和高效利用。</w:t>
      </w:r>
    </w:p>
    <w:p>
      <w:pPr>
        <w:numPr>
          <w:ilvl w:val="0"/>
          <w:numId w:val="5"/>
        </w:numPr>
        <w:ind w:firstLine="562"/>
        <w:outlineLvl w:val="1"/>
        <w:rPr>
          <w:b/>
          <w:bCs/>
        </w:rPr>
      </w:pPr>
      <w:bookmarkStart w:id="3" w:name="_Toc219"/>
      <w:r>
        <w:rPr>
          <w:rFonts w:hint="eastAsia"/>
          <w:b/>
          <w:bCs/>
        </w:rPr>
        <w:t>编制原则</w:t>
      </w:r>
      <w:bookmarkEnd w:id="3"/>
    </w:p>
    <w:p>
      <w:pPr>
        <w:ind w:firstLine="562"/>
        <w:rPr>
          <w:b/>
          <w:bCs/>
        </w:rPr>
      </w:pPr>
      <w:r>
        <w:rPr>
          <w:rFonts w:hint="eastAsia"/>
          <w:b/>
          <w:bCs/>
        </w:rPr>
        <w:t>1、遵守法律法规的原则</w:t>
      </w:r>
    </w:p>
    <w:p>
      <w:pPr>
        <w:ind w:firstLine="560"/>
      </w:pPr>
      <w:r>
        <w:rPr>
          <w:rFonts w:hint="eastAsia"/>
        </w:rPr>
        <w:t>东霞富兴堡片区成片开发方案遵循《中华人民共和国土地管理法》、《自然资源部关于印发〈土地征收成片开发标准（试行）&gt;的通知》、《</w:t>
      </w:r>
      <w:r>
        <w:rPr>
          <w:rFonts w:hint="eastAsia" w:cs="Times New Roman"/>
          <w:shd w:val="clear" w:color="auto" w:fill="FFFFFF"/>
        </w:rPr>
        <w:t>福建省自然资源厅关于印发〈福建省土地征收成片开发方案报批实施细则（试行）〉的通知</w:t>
      </w:r>
      <w:r>
        <w:rPr>
          <w:rFonts w:hint="eastAsia"/>
        </w:rPr>
        <w:t>》等相关法律、法规和规程的规定，符合国民经济和社会发展规划、国土空间规划，并已纳入</w:t>
      </w:r>
      <w:r>
        <w:rPr>
          <w:rFonts w:hint="eastAsia" w:cs="Times New Roman"/>
          <w:szCs w:val="28"/>
        </w:rPr>
        <w:t>《关于三明市2020年国民经济和社会发展计划执行情况与2021年国民经济和社会发展计划草案的报告》</w:t>
      </w:r>
      <w:r>
        <w:rPr>
          <w:rFonts w:hint="eastAsia"/>
        </w:rPr>
        <w:t>，项目符合国家产业政策和供地政策。</w:t>
      </w:r>
    </w:p>
    <w:p>
      <w:pPr>
        <w:pStyle w:val="2"/>
        <w:ind w:firstLine="562"/>
        <w:rPr>
          <w:b/>
          <w:bCs/>
          <w:sz w:val="28"/>
          <w:szCs w:val="22"/>
        </w:rPr>
      </w:pPr>
      <w:r>
        <w:rPr>
          <w:rFonts w:hint="eastAsia"/>
          <w:b/>
          <w:bCs/>
          <w:sz w:val="28"/>
          <w:szCs w:val="22"/>
        </w:rPr>
        <w:t>2、维护公共利益的原则</w:t>
      </w:r>
    </w:p>
    <w:p>
      <w:pPr>
        <w:ind w:firstLine="560"/>
      </w:pPr>
      <w:r>
        <w:rPr>
          <w:rFonts w:hint="eastAsia"/>
        </w:rPr>
        <w:t>东霞富兴堡片区成片开发方案以人民为中心，为公共利益的需要，提高成片开发范围内基础设施、公共服务设施以及其他公益性用地的比例，兼顾群众的现实和长远利益，维护群众合法权益，充分征求成片开发区域内富兴堡街道城南村、城关街道城东村2个集体经济组织和农民的意见。</w:t>
      </w:r>
    </w:p>
    <w:p>
      <w:pPr>
        <w:ind w:firstLine="562"/>
        <w:rPr>
          <w:b/>
          <w:bCs/>
        </w:rPr>
      </w:pPr>
      <w:r>
        <w:rPr>
          <w:rFonts w:hint="eastAsia"/>
          <w:b/>
          <w:bCs/>
        </w:rPr>
        <w:t>3、合理开发保护的原则</w:t>
      </w:r>
    </w:p>
    <w:p>
      <w:pPr>
        <w:ind w:firstLine="560"/>
      </w:pPr>
      <w:r>
        <w:rPr>
          <w:rFonts w:hint="eastAsia"/>
        </w:rPr>
        <w:t>东霞富兴堡片区成片开发方案坚持新发展理念和节约集约优先战略，立足城市的长远发展，根据东霞富兴堡片区实际的土地经济规律和实际用地需求，分析三明市三元区社会经济发展和市场需求，确保项目开发的必要性。根据东霞富兴堡片区确定的建设总规模和用地面积，容积率，建筑密度等，因地制宜，有针对性地开展编制工作。</w:t>
      </w:r>
    </w:p>
    <w:p>
      <w:pPr>
        <w:pStyle w:val="2"/>
        <w:ind w:firstLine="360"/>
      </w:pPr>
    </w:p>
    <w:p>
      <w:pPr>
        <w:pStyle w:val="2"/>
        <w:ind w:firstLine="360"/>
      </w:pPr>
    </w:p>
    <w:p>
      <w:pPr>
        <w:ind w:firstLine="562"/>
        <w:rPr>
          <w:b/>
          <w:bCs/>
        </w:rPr>
      </w:pPr>
      <w:r>
        <w:rPr>
          <w:rFonts w:hint="eastAsia"/>
          <w:b/>
          <w:bCs/>
        </w:rPr>
        <w:t>4、符合节约集约用地的原则</w:t>
      </w:r>
    </w:p>
    <w:p>
      <w:pPr>
        <w:ind w:firstLine="560"/>
      </w:pPr>
      <w:r>
        <w:rPr>
          <w:rFonts w:hint="eastAsia"/>
        </w:rPr>
        <w:t>东霞富兴堡片区成片开发方案已落实严格的耕地保护制度，避让城市周边永久基本农田。根据三明市三元区当地经济社会发展状况、实际用地需求、土地利用相关政策等确定本方案成片开发范围，科学合理规划布局，优化资源配置，节约集约利用土地，提高土地利用效率。</w:t>
      </w:r>
    </w:p>
    <w:p>
      <w:pPr>
        <w:numPr>
          <w:ilvl w:val="0"/>
          <w:numId w:val="5"/>
        </w:numPr>
        <w:ind w:firstLine="562"/>
        <w:outlineLvl w:val="1"/>
        <w:rPr>
          <w:b/>
          <w:bCs/>
        </w:rPr>
      </w:pPr>
      <w:bookmarkStart w:id="4" w:name="_Toc15789"/>
      <w:r>
        <w:rPr>
          <w:rFonts w:hint="eastAsia"/>
          <w:b/>
          <w:bCs/>
        </w:rPr>
        <w:t>编制依据</w:t>
      </w:r>
      <w:bookmarkEnd w:id="4"/>
    </w:p>
    <w:p>
      <w:pPr>
        <w:spacing w:line="200" w:lineRule="atLeast"/>
        <w:ind w:firstLine="560"/>
        <w:rPr>
          <w:rFonts w:cs="Times New Roman"/>
          <w:szCs w:val="28"/>
        </w:rPr>
      </w:pPr>
      <w:r>
        <w:rPr>
          <w:rFonts w:hint="eastAsia" w:cs="Times New Roman"/>
          <w:szCs w:val="28"/>
        </w:rPr>
        <w:t>1</w:t>
      </w:r>
      <w:r>
        <w:rPr>
          <w:rFonts w:cs="Times New Roman"/>
          <w:szCs w:val="28"/>
        </w:rPr>
        <w:t>.</w:t>
      </w:r>
      <w:r>
        <w:rPr>
          <w:rFonts w:hint="eastAsia" w:cs="Times New Roman"/>
          <w:szCs w:val="28"/>
        </w:rPr>
        <w:t>《自然资源部关于印发</w:t>
      </w:r>
      <w:r>
        <w:rPr>
          <w:rFonts w:hint="eastAsia" w:cs="Times New Roman"/>
          <w:shd w:val="clear" w:color="auto" w:fill="FFFFFF"/>
        </w:rPr>
        <w:t>〈</w:t>
      </w:r>
      <w:r>
        <w:rPr>
          <w:rFonts w:hint="eastAsia" w:cs="Times New Roman"/>
          <w:szCs w:val="28"/>
        </w:rPr>
        <w:t>土地征收成片开发标准（试行）</w:t>
      </w:r>
      <w:r>
        <w:rPr>
          <w:rFonts w:hint="eastAsia" w:cs="Times New Roman"/>
          <w:shd w:val="clear" w:color="auto" w:fill="FFFFFF"/>
        </w:rPr>
        <w:t>〉</w:t>
      </w:r>
      <w:r>
        <w:rPr>
          <w:rFonts w:hint="eastAsia" w:cs="Times New Roman"/>
          <w:szCs w:val="28"/>
        </w:rPr>
        <w:t>的通知》（自然资规〔2020〕5号）</w:t>
      </w:r>
      <w:r>
        <w:rPr>
          <w:rFonts w:cs="Times New Roman"/>
          <w:szCs w:val="28"/>
        </w:rPr>
        <w:t>；</w:t>
      </w:r>
    </w:p>
    <w:p>
      <w:pPr>
        <w:spacing w:line="200" w:lineRule="atLeast"/>
        <w:ind w:firstLine="560"/>
        <w:rPr>
          <w:rFonts w:cs="Times New Roman"/>
          <w:shd w:val="clear" w:color="auto" w:fill="FFFFFF"/>
        </w:rPr>
      </w:pPr>
      <w:r>
        <w:rPr>
          <w:rFonts w:hint="eastAsia" w:cs="Times New Roman"/>
          <w:shd w:val="clear" w:color="auto" w:fill="FFFFFF"/>
        </w:rPr>
        <w:t>2</w:t>
      </w:r>
      <w:r>
        <w:rPr>
          <w:rFonts w:cs="Times New Roman"/>
          <w:shd w:val="clear" w:color="auto" w:fill="FFFFFF"/>
        </w:rPr>
        <w:t>.</w:t>
      </w:r>
      <w:r>
        <w:rPr>
          <w:rFonts w:hint="eastAsia" w:cs="Times New Roman"/>
          <w:shd w:val="clear" w:color="auto" w:fill="FFFFFF"/>
        </w:rPr>
        <w:t>《福建省自然资源厅关于印发〈福建省土地征收成片开发方案报批实施细则（试行）〉的通知》（闽自然资发〔202</w:t>
      </w:r>
      <w:r>
        <w:rPr>
          <w:rFonts w:cs="Times New Roman"/>
          <w:shd w:val="clear" w:color="auto" w:fill="FFFFFF"/>
        </w:rPr>
        <w:t>1</w:t>
      </w:r>
      <w:r>
        <w:rPr>
          <w:rFonts w:hint="eastAsia" w:cs="Times New Roman"/>
          <w:shd w:val="clear" w:color="auto" w:fill="FFFFFF"/>
        </w:rPr>
        <w:t>〕3号）</w:t>
      </w:r>
      <w:r>
        <w:rPr>
          <w:rFonts w:cs="Times New Roman"/>
          <w:shd w:val="clear" w:color="auto" w:fill="FFFFFF"/>
        </w:rPr>
        <w:t>；</w:t>
      </w:r>
    </w:p>
    <w:p>
      <w:pPr>
        <w:widowControl/>
        <w:spacing w:line="600" w:lineRule="exact"/>
        <w:ind w:firstLine="560"/>
        <w:jc w:val="left"/>
        <w:rPr>
          <w:rFonts w:eastAsia="仿宋" w:cs="Times New Roman"/>
          <w:szCs w:val="28"/>
          <w:shd w:val="clear" w:color="auto" w:fill="FFFFFF"/>
        </w:rPr>
      </w:pPr>
      <w:r>
        <w:rPr>
          <w:rFonts w:hint="eastAsia" w:eastAsia="仿宋" w:cs="Times New Roman"/>
          <w:szCs w:val="28"/>
          <w:shd w:val="clear" w:color="auto" w:fill="FFFFFF"/>
        </w:rPr>
        <w:t>3.</w:t>
      </w:r>
      <w:r>
        <w:rPr>
          <w:rFonts w:hint="eastAsia" w:cs="Times New Roman"/>
          <w:szCs w:val="28"/>
          <w:shd w:val="clear" w:color="auto" w:fill="FFFFFF"/>
        </w:rPr>
        <w:t>《</w:t>
      </w:r>
      <w:r>
        <w:rPr>
          <w:rFonts w:hint="eastAsia" w:eastAsia="仿宋" w:cs="Times New Roman"/>
          <w:szCs w:val="28"/>
          <w:shd w:val="clear" w:color="auto" w:fill="FFFFFF"/>
        </w:rPr>
        <w:t>福建省自然资源厅关于印发</w:t>
      </w:r>
      <w:r>
        <w:rPr>
          <w:rFonts w:hint="eastAsia" w:cs="Times New Roman"/>
          <w:shd w:val="clear" w:color="auto" w:fill="FFFFFF"/>
        </w:rPr>
        <w:t>〈</w:t>
      </w:r>
      <w:r>
        <w:rPr>
          <w:rFonts w:hint="eastAsia" w:eastAsia="仿宋" w:cs="Times New Roman"/>
          <w:szCs w:val="28"/>
          <w:shd w:val="clear" w:color="auto" w:fill="FFFFFF"/>
        </w:rPr>
        <w:t>福建省土地征收成片开发方案编制参考指南（试行）</w:t>
      </w:r>
      <w:r>
        <w:rPr>
          <w:rFonts w:hint="eastAsia" w:cs="Times New Roman"/>
          <w:shd w:val="clear" w:color="auto" w:fill="FFFFFF"/>
        </w:rPr>
        <w:t>〉</w:t>
      </w:r>
      <w:r>
        <w:rPr>
          <w:rFonts w:hint="eastAsia" w:eastAsia="仿宋" w:cs="Times New Roman"/>
          <w:szCs w:val="28"/>
          <w:shd w:val="clear" w:color="auto" w:fill="FFFFFF"/>
        </w:rPr>
        <w:t>的通</w:t>
      </w:r>
      <w:r>
        <w:rPr>
          <w:rFonts w:hint="eastAsia" w:cs="Times New Roman"/>
          <w:shd w:val="clear" w:color="auto" w:fill="FFFFFF"/>
        </w:rPr>
        <w:t>知》（闽自然资发〔2021〕6号）；</w:t>
      </w:r>
    </w:p>
    <w:p>
      <w:pPr>
        <w:pStyle w:val="2"/>
        <w:spacing w:line="600" w:lineRule="exact"/>
        <w:ind w:firstLine="560"/>
        <w:rPr>
          <w:rFonts w:cs="Times New Roman"/>
          <w:sz w:val="28"/>
          <w:szCs w:val="28"/>
          <w:shd w:val="clear" w:color="auto" w:fill="FFFFFF"/>
        </w:rPr>
      </w:pPr>
      <w:r>
        <w:rPr>
          <w:rFonts w:hint="eastAsia" w:cs="Times New Roman"/>
          <w:sz w:val="28"/>
          <w:szCs w:val="28"/>
          <w:shd w:val="clear" w:color="auto" w:fill="FFFFFF"/>
        </w:rPr>
        <w:t>4.《自然资源部办公厅关于印发〈国土空间调查、规划、用途管制用地用海分类指南（试行）〉》（自然资办发〔2020〕51号）；</w:t>
      </w:r>
    </w:p>
    <w:p>
      <w:pPr>
        <w:ind w:firstLine="560"/>
        <w:rPr>
          <w:rFonts w:cs="Times New Roman"/>
          <w:szCs w:val="28"/>
        </w:rPr>
      </w:pPr>
      <w:r>
        <w:rPr>
          <w:rFonts w:hint="eastAsia" w:cs="Times New Roman"/>
          <w:szCs w:val="28"/>
        </w:rPr>
        <w:t>5</w:t>
      </w:r>
      <w:r>
        <w:rPr>
          <w:rFonts w:cs="Times New Roman"/>
          <w:szCs w:val="28"/>
        </w:rPr>
        <w:t>.《三明市土地利用总体规划（2006-2020）》；</w:t>
      </w:r>
    </w:p>
    <w:p>
      <w:pPr>
        <w:widowControl/>
        <w:ind w:firstLine="560"/>
        <w:jc w:val="left"/>
      </w:pPr>
      <w:r>
        <w:rPr>
          <w:rFonts w:hint="eastAsia"/>
        </w:rPr>
        <w:t>6.</w:t>
      </w:r>
      <w:r>
        <w:rPr>
          <w:rFonts w:ascii="仿宋" w:hAnsi="仿宋" w:eastAsia="仿宋" w:cs="仿宋"/>
          <w:color w:val="000000"/>
          <w:kern w:val="0"/>
          <w:szCs w:val="28"/>
        </w:rPr>
        <w:t>《三元区土地利用总体规划（</w:t>
      </w:r>
      <w:r>
        <w:rPr>
          <w:rFonts w:eastAsia="宋体" w:cs="Times New Roman"/>
          <w:color w:val="000000"/>
          <w:kern w:val="0"/>
          <w:szCs w:val="28"/>
        </w:rPr>
        <w:t>2006-2020</w:t>
      </w:r>
      <w:r>
        <w:rPr>
          <w:rFonts w:hint="eastAsia" w:ascii="仿宋" w:hAnsi="仿宋" w:eastAsia="仿宋" w:cs="仿宋"/>
          <w:color w:val="000000"/>
          <w:kern w:val="0"/>
          <w:szCs w:val="28"/>
        </w:rPr>
        <w:t>）调整方案》（</w:t>
      </w:r>
      <w:r>
        <w:rPr>
          <w:rFonts w:eastAsia="宋体" w:cs="Times New Roman"/>
          <w:color w:val="000000"/>
          <w:kern w:val="0"/>
          <w:szCs w:val="28"/>
        </w:rPr>
        <w:t xml:space="preserve">2017 </w:t>
      </w:r>
    </w:p>
    <w:p>
      <w:pPr>
        <w:widowControl/>
        <w:ind w:firstLine="0" w:firstLineChars="0"/>
        <w:jc w:val="left"/>
      </w:pPr>
      <w:r>
        <w:rPr>
          <w:rFonts w:hint="eastAsia" w:ascii="仿宋" w:hAnsi="仿宋" w:eastAsia="仿宋" w:cs="仿宋"/>
          <w:color w:val="000000"/>
          <w:kern w:val="0"/>
          <w:szCs w:val="28"/>
        </w:rPr>
        <w:t xml:space="preserve">年 </w:t>
      </w:r>
      <w:r>
        <w:rPr>
          <w:rFonts w:eastAsia="宋体" w:cs="Times New Roman"/>
          <w:color w:val="000000"/>
          <w:kern w:val="0"/>
          <w:szCs w:val="28"/>
        </w:rPr>
        <w:t xml:space="preserve">11 </w:t>
      </w:r>
      <w:r>
        <w:rPr>
          <w:rFonts w:hint="eastAsia" w:ascii="仿宋" w:hAnsi="仿宋" w:eastAsia="仿宋" w:cs="仿宋"/>
          <w:color w:val="000000"/>
          <w:kern w:val="0"/>
          <w:szCs w:val="28"/>
        </w:rPr>
        <w:t>月）；</w:t>
      </w:r>
    </w:p>
    <w:p>
      <w:pPr>
        <w:ind w:firstLine="560"/>
        <w:rPr>
          <w:rFonts w:cs="Times New Roman"/>
          <w:szCs w:val="28"/>
        </w:rPr>
      </w:pPr>
      <w:r>
        <w:rPr>
          <w:rFonts w:hint="eastAsia" w:cs="Times New Roman"/>
          <w:szCs w:val="28"/>
        </w:rPr>
        <w:t>7</w:t>
      </w:r>
      <w:r>
        <w:rPr>
          <w:rFonts w:cs="Times New Roman"/>
          <w:szCs w:val="28"/>
        </w:rPr>
        <w:t>.《三明市城市总体规划（2010-2030年）》；</w:t>
      </w:r>
    </w:p>
    <w:p>
      <w:pPr>
        <w:ind w:firstLine="560"/>
        <w:rPr>
          <w:rFonts w:cs="Times New Roman"/>
          <w:szCs w:val="28"/>
        </w:rPr>
      </w:pPr>
      <w:r>
        <w:rPr>
          <w:rFonts w:hint="eastAsia" w:cs="Times New Roman"/>
          <w:szCs w:val="28"/>
        </w:rPr>
        <w:t>8</w:t>
      </w:r>
      <w:r>
        <w:rPr>
          <w:rFonts w:cs="Times New Roman"/>
          <w:szCs w:val="28"/>
        </w:rPr>
        <w:t>.《</w:t>
      </w:r>
      <w:r>
        <w:rPr>
          <w:rFonts w:hint="eastAsia" w:cs="Times New Roman"/>
          <w:szCs w:val="28"/>
        </w:rPr>
        <w:t>三明市三元区国民经济和社会发展第十四个五年规划和二○三五年远景目标纲要（草案）</w:t>
      </w:r>
      <w:r>
        <w:rPr>
          <w:rFonts w:cs="Times New Roman"/>
          <w:szCs w:val="28"/>
        </w:rPr>
        <w:t>》；</w:t>
      </w:r>
    </w:p>
    <w:p>
      <w:pPr>
        <w:ind w:firstLine="560"/>
        <w:rPr>
          <w:rFonts w:cs="Times New Roman"/>
          <w:szCs w:val="28"/>
        </w:rPr>
      </w:pPr>
      <w:r>
        <w:rPr>
          <w:rFonts w:hint="eastAsia" w:cs="Times New Roman"/>
          <w:szCs w:val="28"/>
        </w:rPr>
        <w:t>9.《关于三明市2020年国民经济和社会发展计划执行情况与2021年国民经济和社会发展计划草案的报告》；</w:t>
      </w:r>
    </w:p>
    <w:p>
      <w:pPr>
        <w:ind w:firstLine="560"/>
      </w:pPr>
      <w:r>
        <w:rPr>
          <w:rFonts w:hint="eastAsia" w:cs="Times New Roman"/>
          <w:szCs w:val="28"/>
        </w:rPr>
        <w:t>10.</w:t>
      </w:r>
      <w:r>
        <w:rPr>
          <w:rFonts w:hint="eastAsia"/>
        </w:rPr>
        <w:t>《三元区东霞BCD地块控制性详细规划局部动态维护》；</w:t>
      </w:r>
    </w:p>
    <w:p>
      <w:pPr>
        <w:ind w:firstLine="560"/>
        <w:rPr>
          <w:rFonts w:cs="Times New Roman"/>
          <w:szCs w:val="28"/>
        </w:rPr>
      </w:pPr>
      <w:r>
        <w:rPr>
          <w:rFonts w:hint="eastAsia" w:cs="Times New Roman"/>
          <w:szCs w:val="28"/>
        </w:rPr>
        <w:t>11.《三明市中心城区350403-08</w:t>
      </w:r>
      <w:r>
        <w:rPr>
          <w:rFonts w:hint="eastAsia" w:ascii="仿宋" w:hAnsi="仿宋" w:eastAsia="仿宋" w:cs="仿宋"/>
          <w:szCs w:val="28"/>
        </w:rPr>
        <w:t>(富兴堡片区)单</w:t>
      </w:r>
      <w:r>
        <w:rPr>
          <w:rFonts w:hint="eastAsia" w:cs="Times New Roman"/>
          <w:szCs w:val="28"/>
        </w:rPr>
        <w:t>元控制性详细规划》；</w:t>
      </w:r>
    </w:p>
    <w:p>
      <w:pPr>
        <w:ind w:firstLine="560"/>
        <w:rPr>
          <w:rFonts w:cs="Times New Roman"/>
          <w:szCs w:val="28"/>
        </w:rPr>
        <w:sectPr>
          <w:footerReference r:id="rId11" w:type="default"/>
          <w:pgSz w:w="11906" w:h="16838"/>
          <w:pgMar w:top="1440" w:right="1800" w:bottom="1440" w:left="1800" w:header="851" w:footer="992" w:gutter="0"/>
          <w:pgNumType w:start="1"/>
          <w:cols w:space="720" w:num="1"/>
          <w:docGrid w:type="lines" w:linePitch="312" w:charSpace="0"/>
        </w:sectPr>
      </w:pPr>
      <w:r>
        <w:rPr>
          <w:rFonts w:hint="eastAsia" w:cs="Times New Roman"/>
          <w:szCs w:val="28"/>
        </w:rPr>
        <w:t>12.</w:t>
      </w:r>
      <w:r>
        <w:rPr>
          <w:rFonts w:cs="Times New Roman"/>
          <w:szCs w:val="28"/>
        </w:rPr>
        <w:t>其他相关资料。</w:t>
      </w:r>
    </w:p>
    <w:p>
      <w:pPr>
        <w:pStyle w:val="3"/>
        <w:ind w:firstLine="643"/>
      </w:pPr>
      <w:bookmarkStart w:id="5" w:name="_Toc1395"/>
      <w:r>
        <w:rPr>
          <w:rFonts w:hint="eastAsia"/>
        </w:rPr>
        <w:t>编制条件</w:t>
      </w:r>
      <w:bookmarkEnd w:id="5"/>
    </w:p>
    <w:p>
      <w:pPr>
        <w:ind w:left="560" w:leftChars="200" w:firstLine="0" w:firstLineChars="0"/>
        <w:outlineLvl w:val="1"/>
        <w:rPr>
          <w:b/>
          <w:bCs/>
          <w:sz w:val="30"/>
          <w:szCs w:val="32"/>
        </w:rPr>
      </w:pPr>
      <w:bookmarkStart w:id="6" w:name="_Toc23774"/>
      <w:r>
        <w:rPr>
          <w:rFonts w:hint="eastAsia"/>
          <w:b/>
          <w:bCs/>
          <w:sz w:val="30"/>
          <w:szCs w:val="32"/>
        </w:rPr>
        <w:t>（一）批而未供土地和闲置土地情况</w:t>
      </w:r>
      <w:bookmarkEnd w:id="6"/>
    </w:p>
    <w:p>
      <w:pPr>
        <w:ind w:firstLine="560"/>
        <w:rPr>
          <w:rFonts w:cs="Times New Roman"/>
        </w:rPr>
      </w:pPr>
      <w:r>
        <w:rPr>
          <w:rFonts w:hint="eastAsia" w:cs="Times New Roman"/>
        </w:rPr>
        <w:t>截至2021年2月底，成片开发项目所在的三元区批而未供土地面积82.9425公顷</w:t>
      </w:r>
      <w:r>
        <w:rPr>
          <w:rFonts w:hint="eastAsia" w:cs="Times New Roman"/>
          <w:bCs/>
          <w:kern w:val="44"/>
        </w:rPr>
        <w:t>&lt;</w:t>
      </w:r>
      <w:r>
        <w:rPr>
          <w:rFonts w:hint="eastAsia" w:cs="Times New Roman"/>
        </w:rPr>
        <w:t>500公顷。</w:t>
      </w:r>
      <w:r>
        <w:rPr>
          <w:rFonts w:cs="Times New Roman"/>
        </w:rPr>
        <w:t>2019</w:t>
      </w:r>
      <w:r>
        <w:rPr>
          <w:rFonts w:hint="eastAsia" w:cs="Times New Roman"/>
        </w:rPr>
        <w:t>年和</w:t>
      </w:r>
      <w:r>
        <w:rPr>
          <w:rFonts w:cs="Times New Roman"/>
        </w:rPr>
        <w:t>2020</w:t>
      </w:r>
      <w:r>
        <w:rPr>
          <w:rFonts w:hint="eastAsia" w:cs="Times New Roman"/>
        </w:rPr>
        <w:t>年，批而未供土地处置率分别为20.73%和42.50%，均已超过15%。</w:t>
      </w:r>
    </w:p>
    <w:p>
      <w:pPr>
        <w:widowControl/>
        <w:ind w:firstLine="560"/>
        <w:jc w:val="left"/>
      </w:pPr>
      <w:r>
        <w:rPr>
          <w:rFonts w:hint="eastAsia" w:cs="Times New Roman"/>
        </w:rPr>
        <w:t>截至2021年2月底，</w:t>
      </w:r>
      <w:r>
        <w:rPr>
          <w:rFonts w:ascii="仿宋" w:hAnsi="仿宋" w:eastAsia="仿宋" w:cs="仿宋"/>
          <w:color w:val="000000"/>
          <w:kern w:val="0"/>
          <w:szCs w:val="28"/>
        </w:rPr>
        <w:t>成片开发项目所在的三元区</w:t>
      </w:r>
      <w:r>
        <w:rPr>
          <w:rFonts w:hint="eastAsia" w:cs="Times New Roman"/>
        </w:rPr>
        <w:t>闲置土地面积9.7412公顷</w:t>
      </w:r>
      <w:r>
        <w:rPr>
          <w:rFonts w:hint="eastAsia" w:cs="Times New Roman"/>
          <w:bCs/>
          <w:kern w:val="44"/>
        </w:rPr>
        <w:t>&lt;</w:t>
      </w:r>
      <w:r>
        <w:rPr>
          <w:rFonts w:hint="eastAsia" w:cs="Times New Roman"/>
        </w:rPr>
        <w:t>50公顷。2019年和2020年</w:t>
      </w:r>
      <w:r>
        <w:rPr>
          <w:rFonts w:hint="eastAsia" w:ascii="仿宋" w:hAnsi="仿宋" w:eastAsia="仿宋" w:cs="仿宋"/>
          <w:color w:val="000000"/>
          <w:kern w:val="0"/>
          <w:szCs w:val="28"/>
        </w:rPr>
        <w:t>，三明市三元区没有闲置土地。</w:t>
      </w:r>
      <w:r>
        <w:rPr>
          <w:rFonts w:ascii="仿宋" w:hAnsi="仿宋" w:eastAsia="仿宋" w:cs="仿宋"/>
          <w:color w:val="000000"/>
          <w:kern w:val="0"/>
          <w:szCs w:val="28"/>
        </w:rPr>
        <w:t>符合《实施细则》的要求。</w:t>
      </w:r>
    </w:p>
    <w:p>
      <w:pPr>
        <w:pStyle w:val="2"/>
        <w:numPr>
          <w:ilvl w:val="0"/>
          <w:numId w:val="6"/>
        </w:numPr>
        <w:ind w:firstLine="602"/>
        <w:outlineLvl w:val="1"/>
        <w:rPr>
          <w:rFonts w:ascii="Cambria" w:hAnsi="Cambria" w:cs="Times New Roman"/>
          <w:b/>
          <w:bCs/>
          <w:kern w:val="0"/>
          <w:sz w:val="30"/>
          <w:szCs w:val="32"/>
        </w:rPr>
      </w:pPr>
      <w:bookmarkStart w:id="7" w:name="_Toc3608"/>
      <w:r>
        <w:rPr>
          <w:rFonts w:hint="eastAsia" w:ascii="Cambria" w:hAnsi="Cambria" w:cs="Times New Roman"/>
          <w:b/>
          <w:bCs/>
          <w:kern w:val="0"/>
          <w:sz w:val="30"/>
          <w:szCs w:val="32"/>
        </w:rPr>
        <w:t>土地利用效率情况</w:t>
      </w:r>
      <w:bookmarkEnd w:id="7"/>
    </w:p>
    <w:p>
      <w:pPr>
        <w:widowControl/>
        <w:ind w:firstLine="560"/>
        <w:jc w:val="left"/>
        <w:rPr>
          <w:rFonts w:cs="Times New Roman"/>
          <w:bCs/>
          <w:kern w:val="44"/>
          <w:szCs w:val="28"/>
        </w:rPr>
      </w:pPr>
      <w:r>
        <w:rPr>
          <w:rFonts w:hint="eastAsia" w:cs="Times New Roman"/>
          <w:bCs/>
          <w:kern w:val="44"/>
          <w:szCs w:val="28"/>
        </w:rPr>
        <w:t>三元区属于三明市中心城区老城区，随着三元区城区的经济不断的发展，三元区土地利用方式为粗放趋势型，但土地节约集约利用情况整体较好，土地利用程度稳步提升，用地结构较合理。其中，城乡建设占建设用地的75.76%，占比最大；人均城镇工矿用地108.53平方米/人。</w:t>
      </w:r>
    </w:p>
    <w:p>
      <w:pPr>
        <w:pStyle w:val="2"/>
        <w:ind w:firstLine="560"/>
        <w:rPr>
          <w:rFonts w:cs="Times New Roman"/>
          <w:bCs/>
          <w:kern w:val="44"/>
          <w:sz w:val="28"/>
          <w:szCs w:val="28"/>
        </w:rPr>
      </w:pPr>
      <w:r>
        <w:rPr>
          <w:rFonts w:hint="eastAsia" w:cs="Times New Roman"/>
          <w:bCs/>
          <w:kern w:val="44"/>
          <w:sz w:val="28"/>
          <w:szCs w:val="28"/>
        </w:rPr>
        <w:t>三元区在城乡建设用地人口密度、建设用地地均地区生产总值、建设用地地均固定资产投资、单位地区生产总值增长消耗新增建设用地量均高于三明市水平；单位固定资产投资消耗新增建设用地量略低于三明市水平。四个主要指标具体情况见下表：</w:t>
      </w:r>
    </w:p>
    <w:p>
      <w:pPr>
        <w:pStyle w:val="2"/>
        <w:ind w:firstLine="560"/>
        <w:rPr>
          <w:rFonts w:cs="Times New Roman"/>
          <w:bCs/>
          <w:kern w:val="44"/>
          <w:sz w:val="28"/>
          <w:szCs w:val="28"/>
        </w:rPr>
      </w:pPr>
    </w:p>
    <w:p>
      <w:pPr>
        <w:pStyle w:val="2"/>
        <w:ind w:firstLine="560"/>
        <w:rPr>
          <w:rFonts w:cs="Times New Roman"/>
          <w:bCs/>
          <w:kern w:val="44"/>
          <w:sz w:val="28"/>
          <w:szCs w:val="28"/>
        </w:rPr>
      </w:pPr>
    </w:p>
    <w:p>
      <w:pPr>
        <w:pStyle w:val="2"/>
        <w:ind w:firstLine="560"/>
        <w:rPr>
          <w:rFonts w:cs="Times New Roman"/>
          <w:bCs/>
          <w:kern w:val="44"/>
          <w:sz w:val="28"/>
          <w:szCs w:val="28"/>
        </w:rPr>
      </w:pPr>
    </w:p>
    <w:p>
      <w:pPr>
        <w:pStyle w:val="2"/>
        <w:ind w:firstLine="560"/>
        <w:rPr>
          <w:rFonts w:cs="Times New Roman"/>
          <w:bCs/>
          <w:kern w:val="44"/>
          <w:sz w:val="28"/>
          <w:szCs w:val="28"/>
        </w:rPr>
      </w:pPr>
    </w:p>
    <w:p>
      <w:pPr>
        <w:widowControl/>
        <w:ind w:firstLine="562"/>
        <w:jc w:val="center"/>
        <w:rPr>
          <w:rFonts w:ascii="仿宋" w:hAnsi="仿宋" w:eastAsia="仿宋" w:cs="仿宋"/>
          <w:szCs w:val="28"/>
        </w:rPr>
      </w:pPr>
      <w:r>
        <w:rPr>
          <w:rFonts w:hint="eastAsia" w:ascii="仿宋" w:hAnsi="仿宋" w:eastAsia="仿宋" w:cs="仿宋"/>
          <w:b/>
          <w:color w:val="000000"/>
          <w:kern w:val="0"/>
          <w:szCs w:val="28"/>
        </w:rPr>
        <w:t>表2-1 节约集约利用评价指标对比表</w:t>
      </w:r>
    </w:p>
    <w:tbl>
      <w:tblPr>
        <w:tblStyle w:val="15"/>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5"/>
        <w:gridCol w:w="1528"/>
        <w:gridCol w:w="1543"/>
        <w:gridCol w:w="1543"/>
        <w:gridCol w:w="1486"/>
        <w:gridCol w:w="1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pPr>
              <w:widowControl/>
              <w:spacing w:line="360" w:lineRule="exact"/>
              <w:ind w:firstLine="0" w:firstLineChars="0"/>
              <w:jc w:val="center"/>
            </w:pPr>
            <w:r>
              <w:rPr>
                <w:rFonts w:ascii="仿宋_GB2312" w:hAnsi="仿宋_GB2312" w:cs="仿宋_GB2312"/>
                <w:b/>
                <w:color w:val="000000"/>
                <w:kern w:val="0"/>
                <w:sz w:val="24"/>
                <w:szCs w:val="24"/>
              </w:rPr>
              <w:t>类型</w:t>
            </w:r>
          </w:p>
          <w:p>
            <w:pPr>
              <w:spacing w:line="360" w:lineRule="exact"/>
              <w:ind w:firstLine="0" w:firstLineChars="0"/>
              <w:jc w:val="center"/>
            </w:pPr>
          </w:p>
        </w:tc>
        <w:tc>
          <w:tcPr>
            <w:tcW w:w="1420" w:type="dxa"/>
            <w:vAlign w:val="center"/>
          </w:tcPr>
          <w:p>
            <w:pPr>
              <w:spacing w:line="360" w:lineRule="exact"/>
              <w:ind w:firstLine="0" w:firstLineChars="0"/>
              <w:jc w:val="center"/>
            </w:pPr>
            <w:r>
              <w:rPr>
                <w:rFonts w:hint="eastAsia"/>
              </w:rPr>
              <w:t>城乡建设用地人口密度 （PUII1）</w:t>
            </w:r>
          </w:p>
        </w:tc>
        <w:tc>
          <w:tcPr>
            <w:tcW w:w="1420" w:type="dxa"/>
            <w:vAlign w:val="center"/>
          </w:tcPr>
          <w:p>
            <w:pPr>
              <w:spacing w:line="360" w:lineRule="exact"/>
              <w:ind w:firstLine="0" w:firstLineChars="0"/>
              <w:jc w:val="center"/>
            </w:pPr>
            <w:r>
              <w:rPr>
                <w:rFonts w:hint="eastAsia"/>
              </w:rPr>
              <w:t>建设用地地均地区生产总值 （EUII2）</w:t>
            </w:r>
          </w:p>
        </w:tc>
        <w:tc>
          <w:tcPr>
            <w:tcW w:w="1420" w:type="dxa"/>
            <w:vAlign w:val="center"/>
          </w:tcPr>
          <w:p>
            <w:pPr>
              <w:spacing w:line="360" w:lineRule="exact"/>
              <w:ind w:firstLine="0" w:firstLineChars="0"/>
              <w:jc w:val="center"/>
            </w:pPr>
            <w:r>
              <w:rPr>
                <w:rFonts w:hint="eastAsia"/>
              </w:rPr>
              <w:t>建设用地地均固定资产投资 （EUII1）</w:t>
            </w:r>
          </w:p>
        </w:tc>
        <w:tc>
          <w:tcPr>
            <w:tcW w:w="1421" w:type="dxa"/>
            <w:vAlign w:val="center"/>
          </w:tcPr>
          <w:p>
            <w:pPr>
              <w:spacing w:line="360" w:lineRule="exact"/>
              <w:ind w:firstLine="0" w:firstLineChars="0"/>
              <w:jc w:val="center"/>
            </w:pPr>
            <w:r>
              <w:rPr>
                <w:rFonts w:hint="eastAsia"/>
              </w:rPr>
              <w:t>单位地区生产总值增长消耗 新增建设用地量(EGCI2)</w:t>
            </w:r>
          </w:p>
        </w:tc>
        <w:tc>
          <w:tcPr>
            <w:tcW w:w="1421" w:type="dxa"/>
            <w:vAlign w:val="center"/>
          </w:tcPr>
          <w:p>
            <w:pPr>
              <w:spacing w:line="360" w:lineRule="exact"/>
              <w:ind w:firstLine="0" w:firstLineChars="0"/>
              <w:jc w:val="center"/>
            </w:pPr>
            <w:r>
              <w:rPr>
                <w:rFonts w:hint="eastAsia"/>
              </w:rPr>
              <w:t>单位固定资产投资消耗新增建设用地量(EGCI3)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420" w:type="dxa"/>
            <w:vAlign w:val="center"/>
          </w:tcPr>
          <w:p>
            <w:pPr>
              <w:spacing w:line="360" w:lineRule="exact"/>
              <w:ind w:firstLine="0" w:firstLineChars="0"/>
              <w:jc w:val="center"/>
              <w:rPr>
                <w:rFonts w:eastAsiaTheme="minorEastAsia"/>
                <w:szCs w:val="28"/>
              </w:rPr>
            </w:pPr>
            <w:r>
              <w:rPr>
                <w:rFonts w:hint="eastAsia"/>
                <w:szCs w:val="28"/>
              </w:rPr>
              <w:t>三明市</w:t>
            </w:r>
          </w:p>
        </w:tc>
        <w:tc>
          <w:tcPr>
            <w:tcW w:w="1420" w:type="dxa"/>
            <w:vAlign w:val="center"/>
          </w:tcPr>
          <w:p>
            <w:pPr>
              <w:spacing w:line="360" w:lineRule="exact"/>
              <w:ind w:firstLine="0" w:firstLineChars="0"/>
              <w:jc w:val="center"/>
              <w:rPr>
                <w:szCs w:val="28"/>
              </w:rPr>
            </w:pPr>
            <w:r>
              <w:rPr>
                <w:color w:val="000000"/>
                <w:szCs w:val="28"/>
              </w:rPr>
              <w:t>4872.65</w:t>
            </w:r>
          </w:p>
        </w:tc>
        <w:tc>
          <w:tcPr>
            <w:tcW w:w="1420" w:type="dxa"/>
            <w:vAlign w:val="center"/>
          </w:tcPr>
          <w:p>
            <w:pPr>
              <w:spacing w:line="360" w:lineRule="exact"/>
              <w:ind w:firstLine="0" w:firstLineChars="0"/>
              <w:jc w:val="center"/>
              <w:rPr>
                <w:szCs w:val="28"/>
              </w:rPr>
            </w:pPr>
            <w:r>
              <w:rPr>
                <w:color w:val="000000"/>
                <w:szCs w:val="28"/>
              </w:rPr>
              <w:t>22778.79</w:t>
            </w:r>
          </w:p>
        </w:tc>
        <w:tc>
          <w:tcPr>
            <w:tcW w:w="1420" w:type="dxa"/>
            <w:vAlign w:val="center"/>
          </w:tcPr>
          <w:p>
            <w:pPr>
              <w:spacing w:line="360" w:lineRule="exact"/>
              <w:ind w:firstLine="0" w:firstLineChars="0"/>
              <w:jc w:val="center"/>
              <w:rPr>
                <w:szCs w:val="28"/>
              </w:rPr>
            </w:pPr>
            <w:r>
              <w:rPr>
                <w:color w:val="000000"/>
                <w:szCs w:val="28"/>
              </w:rPr>
              <w:t>23082.21</w:t>
            </w:r>
          </w:p>
        </w:tc>
        <w:tc>
          <w:tcPr>
            <w:tcW w:w="1421" w:type="dxa"/>
            <w:vAlign w:val="center"/>
          </w:tcPr>
          <w:p>
            <w:pPr>
              <w:spacing w:line="360" w:lineRule="exact"/>
              <w:ind w:firstLine="0" w:firstLineChars="0"/>
              <w:jc w:val="center"/>
              <w:rPr>
                <w:szCs w:val="28"/>
              </w:rPr>
            </w:pPr>
            <w:r>
              <w:rPr>
                <w:color w:val="000000"/>
                <w:szCs w:val="28"/>
              </w:rPr>
              <w:t>7.83</w:t>
            </w:r>
          </w:p>
        </w:tc>
        <w:tc>
          <w:tcPr>
            <w:tcW w:w="1421" w:type="dxa"/>
            <w:vAlign w:val="center"/>
          </w:tcPr>
          <w:p>
            <w:pPr>
              <w:spacing w:line="360" w:lineRule="exact"/>
              <w:ind w:firstLine="0" w:firstLineChars="0"/>
              <w:jc w:val="center"/>
              <w:rPr>
                <w:szCs w:val="28"/>
              </w:rPr>
            </w:pPr>
            <w:r>
              <w:rPr>
                <w:color w:val="000000"/>
                <w:szCs w:val="28"/>
              </w:rPr>
              <w:t>0.47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20" w:type="dxa"/>
            <w:vAlign w:val="center"/>
          </w:tcPr>
          <w:p>
            <w:pPr>
              <w:spacing w:line="360" w:lineRule="exact"/>
              <w:ind w:firstLine="0" w:firstLineChars="0"/>
              <w:jc w:val="center"/>
              <w:rPr>
                <w:szCs w:val="28"/>
              </w:rPr>
            </w:pPr>
            <w:r>
              <w:rPr>
                <w:rFonts w:hint="eastAsia"/>
                <w:szCs w:val="28"/>
              </w:rPr>
              <w:t>三元区</w:t>
            </w:r>
          </w:p>
        </w:tc>
        <w:tc>
          <w:tcPr>
            <w:tcW w:w="1420" w:type="dxa"/>
            <w:vAlign w:val="center"/>
          </w:tcPr>
          <w:p>
            <w:pPr>
              <w:spacing w:line="360" w:lineRule="exact"/>
              <w:ind w:firstLine="0" w:firstLineChars="0"/>
              <w:jc w:val="center"/>
              <w:rPr>
                <w:szCs w:val="28"/>
              </w:rPr>
            </w:pPr>
            <w:r>
              <w:rPr>
                <w:szCs w:val="28"/>
              </w:rPr>
              <w:t>6677.76</w:t>
            </w:r>
          </w:p>
        </w:tc>
        <w:tc>
          <w:tcPr>
            <w:tcW w:w="1420" w:type="dxa"/>
            <w:vAlign w:val="center"/>
          </w:tcPr>
          <w:p>
            <w:pPr>
              <w:spacing w:line="360" w:lineRule="exact"/>
              <w:ind w:firstLine="0" w:firstLineChars="0"/>
              <w:jc w:val="center"/>
              <w:rPr>
                <w:szCs w:val="28"/>
              </w:rPr>
            </w:pPr>
            <w:r>
              <w:rPr>
                <w:szCs w:val="28"/>
              </w:rPr>
              <w:t>33161.59</w:t>
            </w:r>
          </w:p>
        </w:tc>
        <w:tc>
          <w:tcPr>
            <w:tcW w:w="1420" w:type="dxa"/>
            <w:vAlign w:val="center"/>
          </w:tcPr>
          <w:p>
            <w:pPr>
              <w:spacing w:line="360" w:lineRule="exact"/>
              <w:ind w:firstLine="0" w:firstLineChars="0"/>
              <w:jc w:val="center"/>
              <w:rPr>
                <w:szCs w:val="28"/>
              </w:rPr>
            </w:pPr>
            <w:r>
              <w:rPr>
                <w:szCs w:val="28"/>
              </w:rPr>
              <w:t>43032.46</w:t>
            </w:r>
          </w:p>
        </w:tc>
        <w:tc>
          <w:tcPr>
            <w:tcW w:w="1421" w:type="dxa"/>
            <w:vAlign w:val="center"/>
          </w:tcPr>
          <w:p>
            <w:pPr>
              <w:spacing w:line="360" w:lineRule="exact"/>
              <w:ind w:firstLine="0" w:firstLineChars="0"/>
              <w:jc w:val="center"/>
              <w:rPr>
                <w:szCs w:val="28"/>
              </w:rPr>
            </w:pPr>
            <w:r>
              <w:rPr>
                <w:rFonts w:eastAsia="宋体"/>
                <w:kern w:val="0"/>
                <w:szCs w:val="28"/>
              </w:rPr>
              <w:t>10.50</w:t>
            </w:r>
          </w:p>
        </w:tc>
        <w:tc>
          <w:tcPr>
            <w:tcW w:w="1421" w:type="dxa"/>
            <w:vAlign w:val="center"/>
          </w:tcPr>
          <w:p>
            <w:pPr>
              <w:spacing w:line="360" w:lineRule="exact"/>
              <w:ind w:firstLine="0" w:firstLineChars="0"/>
              <w:jc w:val="center"/>
              <w:rPr>
                <w:szCs w:val="28"/>
              </w:rPr>
            </w:pPr>
            <w:r>
              <w:rPr>
                <w:rFonts w:eastAsia="宋体"/>
                <w:kern w:val="0"/>
                <w:szCs w:val="28"/>
              </w:rPr>
              <w:t>0.44</w:t>
            </w:r>
          </w:p>
        </w:tc>
      </w:tr>
    </w:tbl>
    <w:p>
      <w:pPr>
        <w:widowControl/>
        <w:ind w:firstLine="480"/>
        <w:jc w:val="left"/>
      </w:pPr>
      <w:r>
        <w:rPr>
          <w:rFonts w:ascii="楷体" w:hAnsi="楷体" w:eastAsia="楷体" w:cs="楷体"/>
          <w:color w:val="000000"/>
          <w:kern w:val="0"/>
          <w:sz w:val="24"/>
          <w:szCs w:val="24"/>
        </w:rPr>
        <w:t>注：数据来源于《</w:t>
      </w:r>
      <w:r>
        <w:rPr>
          <w:rFonts w:hint="eastAsia" w:ascii="楷体" w:hAnsi="楷体" w:eastAsia="楷体" w:cs="楷体"/>
          <w:color w:val="000000"/>
          <w:kern w:val="0"/>
          <w:sz w:val="24"/>
          <w:szCs w:val="24"/>
        </w:rPr>
        <w:t>三明市区域建设用地节约集约利用状况评价技术报告》</w:t>
      </w:r>
    </w:p>
    <w:p>
      <w:pPr>
        <w:pStyle w:val="2"/>
        <w:ind w:firstLine="602"/>
        <w:outlineLvl w:val="1"/>
        <w:rPr>
          <w:rFonts w:ascii="Cambria" w:hAnsi="Cambria" w:cs="Times New Roman"/>
          <w:b/>
          <w:bCs/>
          <w:kern w:val="0"/>
          <w:sz w:val="30"/>
          <w:szCs w:val="32"/>
        </w:rPr>
      </w:pPr>
      <w:bookmarkStart w:id="8" w:name="_Toc8406"/>
      <w:bookmarkStart w:id="9" w:name="_Toc18672"/>
      <w:r>
        <w:rPr>
          <w:rFonts w:hint="eastAsia" w:ascii="Cambria" w:hAnsi="Cambria" w:cs="Times New Roman"/>
          <w:b/>
          <w:bCs/>
          <w:kern w:val="0"/>
          <w:sz w:val="30"/>
          <w:szCs w:val="32"/>
        </w:rPr>
        <w:t>（三）已批准土地征收成片开发方案实施情况</w:t>
      </w:r>
      <w:bookmarkEnd w:id="8"/>
      <w:bookmarkEnd w:id="9"/>
    </w:p>
    <w:p>
      <w:pPr>
        <w:spacing w:line="580" w:lineRule="atLeast"/>
        <w:ind w:firstLine="560"/>
        <w:rPr>
          <w:rFonts w:hint="eastAsia" w:ascii="仿宋_GB2312" w:cs="Times New Roman"/>
          <w:shd w:val="clear" w:color="auto" w:fill="FFFFFF"/>
        </w:rPr>
      </w:pPr>
      <w:r>
        <w:rPr>
          <w:rFonts w:hint="eastAsia" w:ascii="仿宋_GB2312" w:cs="Times New Roman"/>
          <w:shd w:val="clear" w:color="auto" w:fill="FFFFFF"/>
        </w:rPr>
        <w:t>三明市三元区已批准的三明市三元区2021年度第一批次土地征收成片开发方案按年度计划实施中。</w:t>
      </w:r>
    </w:p>
    <w:p>
      <w:pPr>
        <w:pStyle w:val="3"/>
        <w:ind w:firstLine="643"/>
      </w:pPr>
      <w:bookmarkStart w:id="10" w:name="_Toc3587"/>
      <w:r>
        <w:rPr>
          <w:rFonts w:hint="eastAsia"/>
        </w:rPr>
        <w:t>基本情况</w:t>
      </w:r>
      <w:bookmarkEnd w:id="10"/>
    </w:p>
    <w:p>
      <w:pPr>
        <w:ind w:firstLine="562"/>
        <w:outlineLvl w:val="1"/>
        <w:rPr>
          <w:b/>
          <w:bCs/>
        </w:rPr>
      </w:pPr>
      <w:bookmarkStart w:id="11" w:name="_Toc31334"/>
      <w:r>
        <w:rPr>
          <w:rFonts w:hint="eastAsia"/>
          <w:b/>
          <w:bCs/>
        </w:rPr>
        <w:t>（一）成片开发位置、范围、面积</w:t>
      </w:r>
      <w:bookmarkEnd w:id="11"/>
    </w:p>
    <w:p>
      <w:pPr>
        <w:ind w:firstLine="560"/>
      </w:pPr>
      <w:r>
        <w:rPr>
          <w:rFonts w:hint="eastAsia"/>
        </w:rPr>
        <w:t>三明市三元区东霞富兴堡片区地处</w:t>
      </w:r>
      <w:r>
        <w:t>三明市中心城区</w:t>
      </w:r>
      <w:r>
        <w:rPr>
          <w:rFonts w:hint="eastAsia"/>
        </w:rPr>
        <w:t>南部，成片开发区域位于沙溪河右侧，东牙溪穿越成片开发区域。东霞富兴堡地块成片开发区域南临槐林片区，西接三明站和台江工业园，北靠文笔山公园及三元老城区，周边还有三明学院。项目区距离三明市中心仅6公里，距离沙县县城32公里，距离永安市区48公里，区域及交通位置十分优越。</w:t>
      </w:r>
    </w:p>
    <w:p>
      <w:pPr>
        <w:ind w:firstLine="560"/>
      </w:pPr>
      <w:r>
        <w:rPr>
          <w:rFonts w:hint="eastAsia"/>
        </w:rPr>
        <w:t>本方案涉及三明市三元区城关街道城东村和富兴堡街道城南村，共2个街道2个村。</w:t>
      </w:r>
    </w:p>
    <w:p>
      <w:pPr>
        <w:ind w:firstLine="560"/>
      </w:pPr>
      <w:r>
        <w:rPr>
          <w:rFonts w:hint="eastAsia"/>
        </w:rPr>
        <w:t>根据实地勘测调查，本方案成片开发范围总面积76.0017公顷，其中：农用地19.6638公顷（耕地13.1697公顷），建设用地51.2648公顷，未利用地5.0731公顷。</w:t>
      </w:r>
    </w:p>
    <w:p>
      <w:pPr>
        <w:pStyle w:val="4"/>
        <w:ind w:firstLine="602"/>
      </w:pPr>
      <w:bookmarkStart w:id="12" w:name="_Toc9536"/>
      <w:bookmarkStart w:id="13" w:name="_Toc27931"/>
      <w:r>
        <w:rPr>
          <w:rFonts w:hint="eastAsia"/>
        </w:rPr>
        <w:t>（二）基础设施条件</w:t>
      </w:r>
      <w:bookmarkEnd w:id="12"/>
      <w:bookmarkEnd w:id="13"/>
    </w:p>
    <w:p>
      <w:pPr>
        <w:pStyle w:val="5"/>
        <w:ind w:firstLine="562"/>
      </w:pPr>
      <w:r>
        <w:t>1</w:t>
      </w:r>
      <w:r>
        <w:rPr>
          <w:rFonts w:hint="eastAsia"/>
        </w:rPr>
        <w:t>.</w:t>
      </w:r>
      <w:r>
        <w:t>道路交通现状</w:t>
      </w:r>
    </w:p>
    <w:p>
      <w:pPr>
        <w:ind w:firstLine="560"/>
        <w:rPr>
          <w:rFonts w:cs="Times New Roman"/>
          <w:color w:val="FF0000"/>
          <w:szCs w:val="28"/>
        </w:rPr>
      </w:pPr>
      <w:r>
        <w:rPr>
          <w:rFonts w:hint="eastAsia" w:cs="Times New Roman"/>
          <w:szCs w:val="28"/>
        </w:rPr>
        <w:t>（1）</w:t>
      </w:r>
      <w:r>
        <w:rPr>
          <w:rFonts w:cs="Times New Roman"/>
          <w:szCs w:val="28"/>
        </w:rPr>
        <w:t>公路</w:t>
      </w:r>
      <w:r>
        <w:rPr>
          <w:rFonts w:hint="eastAsia" w:cs="Times New Roman"/>
          <w:szCs w:val="28"/>
        </w:rPr>
        <w:t xml:space="preserve">   </w:t>
      </w:r>
      <w:r>
        <w:rPr>
          <w:rFonts w:hint="eastAsia" w:cs="Times New Roman"/>
          <w:color w:val="FF0000"/>
          <w:szCs w:val="28"/>
        </w:rPr>
        <w:t xml:space="preserve"> </w:t>
      </w:r>
    </w:p>
    <w:p>
      <w:pPr>
        <w:widowControl/>
        <w:ind w:firstLine="560"/>
        <w:jc w:val="left"/>
        <w:rPr>
          <w:rFonts w:cs="Times New Roman"/>
          <w:szCs w:val="28"/>
        </w:rPr>
      </w:pPr>
      <w:r>
        <w:rPr>
          <w:rFonts w:hint="eastAsia" w:cs="Times New Roman"/>
          <w:szCs w:val="28"/>
        </w:rPr>
        <w:t xml:space="preserve"> 三明市实施“北扩南拓”的城市建设方略，三明站、长深高速等设施为三元区东霞-富兴堡成片开发区域注入了强大的发展推力。但片区内部现状道路系统对外联系薄弱，用地呈口袋状，只能依靠北边道路联系城区和外界。成片开发区域向西快速接入G25长深高速，距离三明站2.2公里，534国道的建成使得项目区的可达性进一步提升。</w:t>
      </w:r>
    </w:p>
    <w:p>
      <w:pPr>
        <w:ind w:firstLine="560"/>
        <w:rPr>
          <w:rFonts w:cs="Times New Roman"/>
          <w:szCs w:val="28"/>
        </w:rPr>
      </w:pPr>
      <w:r>
        <w:rPr>
          <w:rFonts w:hint="eastAsia" w:cs="Times New Roman"/>
          <w:szCs w:val="28"/>
        </w:rPr>
        <w:t>（2）</w:t>
      </w:r>
      <w:r>
        <w:rPr>
          <w:rFonts w:cs="Times New Roman"/>
          <w:szCs w:val="28"/>
        </w:rPr>
        <w:t>机场</w:t>
      </w:r>
    </w:p>
    <w:p>
      <w:pPr>
        <w:ind w:firstLine="560"/>
      </w:pPr>
      <w:r>
        <w:t>沙县机场位于沙县</w:t>
      </w:r>
      <w:r>
        <w:rPr>
          <w:rFonts w:hint="eastAsia"/>
        </w:rPr>
        <w:t>城郊</w:t>
      </w:r>
      <w:r>
        <w:t>高砂镇龙慈隧道附近，</w:t>
      </w:r>
      <w:r>
        <w:rPr>
          <w:rFonts w:hint="eastAsia"/>
        </w:rPr>
        <w:t>现已开通北京、上海、广州、福州、厦门、南昌等航线。</w:t>
      </w:r>
      <w:r>
        <w:t>机场远期定位为中型机场，可直飞国内主要城市、港澳地区、东南亚等国家</w:t>
      </w:r>
      <w:r>
        <w:rPr>
          <w:rFonts w:hint="eastAsia"/>
        </w:rPr>
        <w:t>，成片开发区域</w:t>
      </w:r>
      <w:r>
        <w:t>距离</w:t>
      </w:r>
      <w:r>
        <w:rPr>
          <w:rFonts w:hint="eastAsia"/>
        </w:rPr>
        <w:t>沙县机场56</w:t>
      </w:r>
      <w:r>
        <w:t>公里。</w:t>
      </w:r>
    </w:p>
    <w:p>
      <w:pPr>
        <w:pStyle w:val="5"/>
        <w:ind w:firstLine="562"/>
      </w:pPr>
      <w:r>
        <w:t>2</w:t>
      </w:r>
      <w:r>
        <w:rPr>
          <w:rFonts w:hint="eastAsia"/>
        </w:rPr>
        <w:t>.</w:t>
      </w:r>
      <w:r>
        <w:t>市政设施现状</w:t>
      </w:r>
    </w:p>
    <w:p>
      <w:pPr>
        <w:ind w:firstLine="560"/>
      </w:pPr>
      <w:r>
        <w:rPr>
          <w:rFonts w:hint="eastAsia" w:cs="Times New Roman"/>
          <w:szCs w:val="28"/>
        </w:rPr>
        <w:t>本成片开发区域</w:t>
      </w:r>
      <w:r>
        <w:rPr>
          <w:rFonts w:cs="Times New Roman"/>
          <w:szCs w:val="28"/>
        </w:rPr>
        <w:t>的市政供水供电系统完善</w:t>
      </w:r>
      <w:r>
        <w:rPr>
          <w:rFonts w:hint="eastAsia" w:cs="Times New Roman"/>
          <w:szCs w:val="28"/>
        </w:rPr>
        <w:t>。东霞富兴堡片区现状保留位于横九路与纵二路交汇处的1处水厂，保留位于纵二路南段的1处220Kv变电站，排水用地为保留新市南路与横二路交汇处的污水泵站，永兴路东侧规划的排涝泵站，环卫用地为长深高速立交南侧规划的垃圾收集站，安全设施用地为消防用地，保留位于江滨南路中段的一级普通消防站。</w:t>
      </w:r>
    </w:p>
    <w:p>
      <w:pPr>
        <w:ind w:firstLine="562"/>
        <w:outlineLvl w:val="1"/>
        <w:rPr>
          <w:b/>
          <w:bCs/>
        </w:rPr>
      </w:pPr>
      <w:bookmarkStart w:id="14" w:name="_Toc27984"/>
      <w:r>
        <w:rPr>
          <w:rFonts w:hint="eastAsia"/>
          <w:b/>
          <w:bCs/>
        </w:rPr>
        <w:t>（三）实施周期</w:t>
      </w:r>
      <w:bookmarkEnd w:id="14"/>
    </w:p>
    <w:p>
      <w:pPr>
        <w:ind w:firstLine="560"/>
      </w:pPr>
      <w:r>
        <w:rPr>
          <w:rFonts w:hint="eastAsia"/>
        </w:rPr>
        <w:t>方案综合考虑当地社会经济发展状况，遵循城市发展机理，统筹考虑资源禀赋、交通条件、基础设施情况、征收难度、融资情况、建设计划等因素，综合论证后，本方案实施周期为3年（2021-2023年）。</w:t>
      </w:r>
    </w:p>
    <w:p>
      <w:pPr>
        <w:ind w:firstLine="0" w:firstLineChars="0"/>
        <w:rPr>
          <w:b/>
          <w:bCs/>
        </w:rPr>
        <w:sectPr>
          <w:pgSz w:w="11906" w:h="16838"/>
          <w:pgMar w:top="1440" w:right="1800" w:bottom="1440" w:left="1800" w:header="851" w:footer="992" w:gutter="0"/>
          <w:cols w:space="720" w:num="1"/>
          <w:docGrid w:type="lines" w:linePitch="312" w:charSpace="0"/>
        </w:sectPr>
      </w:pPr>
    </w:p>
    <w:p>
      <w:pPr>
        <w:pStyle w:val="3"/>
        <w:ind w:firstLine="643"/>
      </w:pPr>
      <w:bookmarkStart w:id="15" w:name="_Toc9194"/>
      <w:r>
        <w:rPr>
          <w:rFonts w:hint="eastAsia"/>
        </w:rPr>
        <w:t>必要性分析</w:t>
      </w:r>
      <w:bookmarkEnd w:id="15"/>
    </w:p>
    <w:p>
      <w:pPr>
        <w:pStyle w:val="4"/>
        <w:ind w:firstLine="602"/>
      </w:pPr>
      <w:bookmarkStart w:id="16" w:name="_Toc23007"/>
      <w:r>
        <w:rPr>
          <w:rFonts w:hint="eastAsia"/>
        </w:rPr>
        <w:t>（一）符合城市发展需求，解决中心城区居住用地不足的需要</w:t>
      </w:r>
      <w:bookmarkEnd w:id="16"/>
    </w:p>
    <w:p>
      <w:pPr>
        <w:ind w:firstLine="560"/>
      </w:pPr>
      <w:r>
        <w:rPr>
          <w:rFonts w:hint="eastAsia"/>
        </w:rPr>
        <w:t>我国经济发展已进入新常态，大部分省区市都处于城镇化快速推进阶段的“加速期”，中小城市将成为提升城市化质量、推进人口城镇化的主要载体。城镇化将迎来从规模城镇化向人口城镇化的转变，城市用地的需求越来越紧迫。</w:t>
      </w:r>
    </w:p>
    <w:p>
      <w:pPr>
        <w:pStyle w:val="2"/>
        <w:ind w:firstLine="560"/>
        <w:rPr>
          <w:sz w:val="28"/>
          <w:szCs w:val="22"/>
        </w:rPr>
      </w:pPr>
      <w:r>
        <w:rPr>
          <w:rFonts w:hint="eastAsia"/>
          <w:sz w:val="28"/>
          <w:szCs w:val="22"/>
        </w:rPr>
        <w:t>三明市三元区属于老城区，存在大量村庄和老旧住宅，存在建设标准较低，小区及组团绿地缺乏，居住、工业、物流交织等诸多问题。见缝插针式的旧城改造，使得人口密度、开发强度显著增高，服务配套设施不足，居住品质明显下降。本项目开发后可增加城镇住宅用地面积27.5811公顷，容纳居住人口3.19万人，提高中心城区人均居住用地，符合三明市城市发展需求，为解决中心城区人均居住用地不足提供新的途经。</w:t>
      </w:r>
    </w:p>
    <w:p>
      <w:pPr>
        <w:pStyle w:val="4"/>
        <w:ind w:firstLine="602"/>
      </w:pPr>
      <w:bookmarkStart w:id="17" w:name="_Toc27745"/>
      <w:r>
        <w:rPr>
          <w:rFonts w:hint="eastAsia"/>
        </w:rPr>
        <w:t>（二）调整中心城区可建设空间，提升地区服务设施配套</w:t>
      </w:r>
      <w:bookmarkEnd w:id="17"/>
    </w:p>
    <w:p>
      <w:pPr>
        <w:ind w:firstLine="560"/>
      </w:pPr>
      <w:r>
        <w:rPr>
          <w:rFonts w:hint="eastAsia"/>
        </w:rPr>
        <w:t>三明市现行总体规划确定集中式的公共服务设置配置模式，即将市区两级公共服务设施布置在中心组团，外围四个片区是相对独立的产业功能区。在三明市中心城区内部无法解决公共服务设施的供给，更无法实现三明作为中心城市对外提供综合服务的职能。</w:t>
      </w:r>
    </w:p>
    <w:p>
      <w:pPr>
        <w:ind w:firstLine="560"/>
      </w:pPr>
      <w:r>
        <w:rPr>
          <w:rFonts w:hint="eastAsia"/>
        </w:rPr>
        <w:t>市区级公共服务设施应在更大的空间尺度中谋求整体布局，将部分市级服务职能转移至外围地区。东霞富兴堡片区新增三元区文化中心、陈景润实验小学富兴校区、社会停车场等基础服务设施，提升区域服务设施配套。不仅能够带动中心城区以外空间的发展，适应山区组合型城市的特点，还能提高人口承载力，增强城市综合竞争力。</w:t>
      </w:r>
    </w:p>
    <w:p>
      <w:pPr>
        <w:pStyle w:val="4"/>
        <w:ind w:firstLine="602"/>
      </w:pPr>
      <w:bookmarkStart w:id="18" w:name="_Toc4773"/>
      <w:r>
        <w:rPr>
          <w:rFonts w:hint="eastAsia"/>
        </w:rPr>
        <w:t>（三）提升中心城区居住环境的途径</w:t>
      </w:r>
      <w:bookmarkEnd w:id="18"/>
    </w:p>
    <w:p>
      <w:pPr>
        <w:ind w:firstLine="560"/>
      </w:pPr>
      <w:r>
        <w:rPr>
          <w:rFonts w:hint="eastAsia"/>
        </w:rPr>
        <w:t>成片开发可突出城市景观打造，加大旧城改造和立面改造力度，加强宾馆公园广场、主要干道等重要地段、重要场所、重要通道景观建设，打造一批城市精品景观和标志性建筑，提升城市绿化美化亮化水平，凸显三明宜业宜居、特色鲜明的城市形象。</w:t>
      </w:r>
    </w:p>
    <w:p>
      <w:pPr>
        <w:ind w:firstLine="560"/>
      </w:pPr>
      <w:r>
        <w:rPr>
          <w:rFonts w:hint="eastAsia"/>
        </w:rPr>
        <w:t>东霞富兴堡片区利用城市道路系统、防护绿地、带状公园把片区周边生态自然资源连接起来形成完整的绿地系统，凸显三明市生态自然魅力的</w:t>
      </w:r>
      <w:r>
        <w:rPr>
          <w:rFonts w:ascii="仿宋_GB2312" w:hAnsi="仿宋" w:cs="仿宋"/>
          <w:color w:val="000000"/>
          <w:szCs w:val="24"/>
        </w:rPr>
        <w:t>同时提高了使用率和可达性，方便了居民日常休闲娱乐生活。</w:t>
      </w:r>
      <w:r>
        <w:rPr>
          <w:rFonts w:hint="eastAsia" w:ascii="仿宋_GB2312" w:hAnsi="仿宋" w:cs="仿宋"/>
          <w:color w:val="000000"/>
          <w:szCs w:val="24"/>
        </w:rPr>
        <w:t>三明城市建成区绿化覆</w:t>
      </w:r>
      <w:r>
        <w:rPr>
          <w:rFonts w:cs="Times New Roman"/>
          <w:color w:val="000000"/>
          <w:szCs w:val="24"/>
        </w:rPr>
        <w:t>盖面积</w:t>
      </w:r>
      <w:r>
        <w:rPr>
          <w:rFonts w:cs="Times New Roman"/>
          <w:szCs w:val="24"/>
        </w:rPr>
        <w:t>6890.19公顷、绿化覆盖率43.23%、人均公园绿地面积达到14.63平方米。东霞富兴堡片区项目建成后，可增加绿地面积9.</w:t>
      </w:r>
      <w:r>
        <w:rPr>
          <w:rFonts w:hint="eastAsia" w:cs="Times New Roman"/>
          <w:szCs w:val="24"/>
        </w:rPr>
        <w:t>8494</w:t>
      </w:r>
      <w:r>
        <w:rPr>
          <w:rFonts w:cs="Times New Roman"/>
          <w:szCs w:val="24"/>
        </w:rPr>
        <w:t>公</w:t>
      </w:r>
      <w:r>
        <w:rPr>
          <w:rFonts w:hint="eastAsia" w:ascii="仿宋_GB2312" w:hAnsi="仿宋" w:cs="仿宋"/>
          <w:szCs w:val="24"/>
        </w:rPr>
        <w:t>顷，</w:t>
      </w:r>
      <w:r>
        <w:rPr>
          <w:rFonts w:hint="eastAsia" w:ascii="仿宋_GB2312" w:hAnsi="仿宋" w:cs="仿宋"/>
          <w:color w:val="000000"/>
          <w:szCs w:val="24"/>
        </w:rPr>
        <w:t>提高城市绿地率，改善居住环境，提升城市品质。</w:t>
      </w:r>
    </w:p>
    <w:p>
      <w:pPr>
        <w:ind w:firstLine="560"/>
      </w:pPr>
      <w:r>
        <w:rPr>
          <w:rFonts w:hint="eastAsia"/>
        </w:rPr>
        <w:t>东霞富兴堡片区范围内建筑风格充分结合闽中建筑特色，融合特色建筑要素，采用丰富明快的色系，塑造文化居住建筑风貌。空间组合上采用多层和中高层相结合，创造安宁、舒适的居住环境。建筑高度以中高层建筑为主，总体高度控制在100m以下。建筑形式与色彩采用简洁明快的建筑线条，勾勒商业建筑的外观风貌，运用米白、浅黄等淡雅色调，以凸显商业集中区的时代性、文化性与地域性。</w:t>
      </w:r>
    </w:p>
    <w:p>
      <w:pPr>
        <w:ind w:firstLine="560"/>
      </w:pPr>
      <w:r>
        <w:rPr>
          <w:rFonts w:hint="eastAsia"/>
        </w:rPr>
        <w:t>三明市三元区东霞富兴堡片区注重保护和利用山水自然环境，打造连接山、城、水的绿色景观廊道，并结合周边主要的城市功能，组织和保护好两侧滨水景观，塑造与自然山水交相辉映、相得益彰的城市空间形态。</w:t>
      </w:r>
      <w:bookmarkStart w:id="19" w:name="_Toc8732"/>
    </w:p>
    <w:p>
      <w:pPr>
        <w:ind w:firstLine="602"/>
        <w:outlineLvl w:val="1"/>
        <w:rPr>
          <w:b/>
          <w:bCs/>
          <w:sz w:val="30"/>
          <w:szCs w:val="32"/>
        </w:rPr>
      </w:pPr>
      <w:bookmarkStart w:id="20" w:name="_Toc21931"/>
      <w:r>
        <w:rPr>
          <w:rFonts w:hint="eastAsia"/>
          <w:b/>
          <w:bCs/>
          <w:sz w:val="30"/>
          <w:szCs w:val="32"/>
        </w:rPr>
        <w:t>（四）加快中心城区发展，促进产城融合</w:t>
      </w:r>
      <w:bookmarkEnd w:id="19"/>
      <w:bookmarkEnd w:id="20"/>
    </w:p>
    <w:p>
      <w:pPr>
        <w:ind w:firstLine="560"/>
      </w:pPr>
      <w:r>
        <w:rPr>
          <w:rFonts w:hint="eastAsia"/>
        </w:rPr>
        <w:t>产业是三明经济发展的根本，也是城市发展的后劲所在。城区及工业区的规划有利于城市人口、产业的聚集，有利于树立城市形象，有利于经济发展环境的改善，有利于经济的可持续发展。在更高起点上提升城市规划水平，在更高层次上推动城市建设扩容提质，在更高标准上提升城市综合管理服务能力。三明市可依托现有的产业基础和空间资源，打破各领域、各条线、各板块的界限，通盘考量，统筹谋划，理顺空间布局，统筹资源配置。</w:t>
      </w:r>
    </w:p>
    <w:p>
      <w:pPr>
        <w:pStyle w:val="2"/>
        <w:ind w:firstLine="560"/>
        <w:rPr>
          <w:sz w:val="28"/>
          <w:szCs w:val="22"/>
        </w:rPr>
      </w:pPr>
      <w:r>
        <w:rPr>
          <w:rFonts w:hint="eastAsia"/>
          <w:sz w:val="28"/>
          <w:szCs w:val="22"/>
        </w:rPr>
        <w:t>自2013年以来，三明始终把产业发展融入城市建设和生态建设全过程，实现“以产促城、以城助产、产城融合”，打造低碳生产生活服务城市综合体。</w:t>
      </w:r>
    </w:p>
    <w:p>
      <w:pPr>
        <w:ind w:firstLine="560"/>
      </w:pPr>
      <w:r>
        <w:rPr>
          <w:rFonts w:hint="eastAsia"/>
        </w:rPr>
        <w:t>东霞富兴堡片区东侧的工业用地主要用于建设低温西式肉制品生产。对照《产业结构调整指导目录（2011年本）》，“农林牧渔产品储运、保鲜、加工及综合利用”列为鼓励发展的产业，因此低温西式肉制品生产建设项目属于国家鼓励类。片区东侧的工业区与东霞富兴堡片区联系紧密，不仅可以大力推动三明市养殖业的迅速发展，同时也带动了饲料加工、运输等第三产业链的发展，还可以为社会提供一定数量的就业机会，解决剩余劳动力的就业问题，减轻社会就业压力，增加地方经济收入。对进一步推进地方经济及上下游相关产业的发展，更好地促进社会繁荣稳定发挥着积极的作用，并确保城市的发展建设始终处于一个动态可控、健康成长的良性状态。</w:t>
      </w:r>
    </w:p>
    <w:p>
      <w:pPr>
        <w:pStyle w:val="3"/>
        <w:ind w:firstLine="643"/>
        <w:rPr>
          <w:bCs/>
        </w:rPr>
      </w:pPr>
      <w:bookmarkStart w:id="21" w:name="_Toc15765"/>
      <w:r>
        <w:rPr>
          <w:rFonts w:hint="eastAsia"/>
        </w:rPr>
        <w:t>主要用途、实现功能及公益性用地比例</w:t>
      </w:r>
      <w:bookmarkEnd w:id="21"/>
    </w:p>
    <w:p>
      <w:pPr>
        <w:ind w:firstLine="560"/>
      </w:pPr>
      <w:r>
        <w:rPr>
          <w:rFonts w:hint="eastAsia"/>
        </w:rPr>
        <w:t>本方案用地总面积76.0017公顷，主要用途为商业和居住。项目建成后可培育新的区域经济增长点，推动当地经济社会发展，完善当地基础设施配套水平，引进一批资金雄厚、运作能力较强的大开发商和精品项目，同时解决了三明市城区住宅设施不足的短板，并且优化城区基础设施布局，衔接区域相关设施，实现资源共享，提升整个城市的综合水平。</w:t>
      </w:r>
    </w:p>
    <w:p>
      <w:pPr>
        <w:ind w:firstLine="560"/>
      </w:pPr>
      <w:r>
        <w:rPr>
          <w:rFonts w:hint="eastAsia"/>
        </w:rPr>
        <w:t>交通运输用地用途面积15.1742公顷，占比为19.96%，包含城镇道路用地和交通场站用地。其中城镇道路用地用途面积15.1277公顷，实现提供道路交通运输功能，不仅可以提高东霞富兴堡片区对外交通功能，缓解中心城区交通压力，还能促进商圈发展，并有利于掀起东霞富兴堡片区投资开发热潮；交通场站用地用途面积0.0465公顷，实现停车服务功能，为东霞富兴堡片区提供30个停车位，缓解区域停车难的问题，使城市中的汽车能够顺畅运转，促进公共交通的发展。</w:t>
      </w:r>
    </w:p>
    <w:p>
      <w:pPr>
        <w:ind w:firstLine="560"/>
      </w:pPr>
      <w:r>
        <w:rPr>
          <w:rFonts w:hint="eastAsia"/>
        </w:rPr>
        <w:t>公共管理与公共服务用地用途面积4.1765公顷，占比为5.50%，包含文化用地和教育用地。其中文化用地用途面积1.4560公顷，实现促进三明区域文化事业发展的功能，完善区域公共管理与公共服务用地，能够带动中心城区的发展，提高人口承载力，增强城市综合竞争力；</w:t>
      </w:r>
      <w:r>
        <w:t>教育用地</w:t>
      </w:r>
      <w:r>
        <w:rPr>
          <w:rFonts w:hint="eastAsia"/>
        </w:rPr>
        <w:t>用途</w:t>
      </w:r>
      <w:r>
        <w:t>面积</w:t>
      </w:r>
      <w:r>
        <w:rPr>
          <w:rFonts w:hint="eastAsia"/>
        </w:rPr>
        <w:t>2.7205</w:t>
      </w:r>
      <w:r>
        <w:t>公顷</w:t>
      </w:r>
      <w:r>
        <w:rPr>
          <w:rFonts w:hint="eastAsia"/>
        </w:rPr>
        <w:t>，实现提供区域教育设施的功能，</w:t>
      </w:r>
      <w:r>
        <w:t>项目区内教育用地主要是</w:t>
      </w:r>
      <w:r>
        <w:rPr>
          <w:rFonts w:hint="eastAsia"/>
        </w:rPr>
        <w:t>规划新建陈景润实验小学富兴校区，</w:t>
      </w:r>
      <w:r>
        <w:t>满足区域教育资源，激发活力和人气，推动片区高质量发展。</w:t>
      </w:r>
    </w:p>
    <w:p>
      <w:pPr>
        <w:ind w:firstLine="560"/>
      </w:pPr>
      <w:r>
        <w:rPr>
          <w:rFonts w:hint="eastAsia"/>
        </w:rPr>
        <w:t>绿地与开敞空间用地用途面积9.8494公顷，占比为12.96%，包含公园绿地和防护绿地。其中公园绿地用途面积8.3771公顷，实现净化空气，减少公害，并为人们提供休闲娱乐场所的功能，公园绿地是人类居住、工作、生活必不可少的场所，一个城市往往因为绿地与开敞空间而变得更有文化魅力；防护绿地用途面积1.4723公顷，实现隔离和安全防护的功能，片区内防护绿地主要位于东南方向的仓储用地和工厂附近，可在区域形成天然生态保护屏，发挥改善城市、协调和平衡城市生态系统的作用。</w:t>
      </w:r>
    </w:p>
    <w:p>
      <w:pPr>
        <w:ind w:firstLine="560"/>
      </w:pPr>
      <w:r>
        <w:rPr>
          <w:rFonts w:hint="eastAsia"/>
        </w:rPr>
        <w:t>陆地水域面积2.5655公顷，占比为3.38%，主要为河流水面用地，实现涵养水源，美化区域环境，提高区域自净能力的功能，东牙溪穿过东霞富兴堡片区北部，结合三明优秀的自然生态基底，打造连接山、城、水的绿色景观廊道。</w:t>
      </w:r>
    </w:p>
    <w:p>
      <w:pPr>
        <w:ind w:firstLine="560"/>
      </w:pPr>
      <w:r>
        <w:rPr>
          <w:rFonts w:hint="eastAsia"/>
        </w:rPr>
        <w:t>居住用地用途面积27.5811公顷，占比为36.29%，主要为城镇住宅用地，实现为人们提供日常生活居住基地的功能，解决了三元区城区人均住宅面积不足的问题，加快城镇化进程，为城市发展注入源源不断的活力，吸引更多投资及企业入驻。</w:t>
      </w:r>
    </w:p>
    <w:p>
      <w:pPr>
        <w:ind w:firstLine="560"/>
      </w:pPr>
      <w:r>
        <w:rPr>
          <w:rFonts w:hint="eastAsia"/>
        </w:rPr>
        <w:t>商业服务业用地用途面积0.7744公顷，占比为1.02%，主要为商业用地，实现提供各类商业销售活动的功能，解决了城区商业用地不足的问题，联动周边居住小区一体，全力打造配套全面、规划完善的商业圈，同时服务于东霞富兴堡片区周边居民的日常商业活动。</w:t>
      </w:r>
    </w:p>
    <w:p>
      <w:pPr>
        <w:ind w:firstLine="560"/>
      </w:pPr>
      <w:r>
        <w:rPr>
          <w:rFonts w:hint="eastAsia"/>
        </w:rPr>
        <w:t>仓储用地用途面积8.8804公顷，占比为11.68%，主要为物流仓储用地，实现促进物流行业发展，提升三元区物流基础设施配置整体升级的功能，东霞富兴堡仓储用地位于片区东南侧，距离最近的居民区有450米卫生防护距离，且周边有防护绿地做为防护屏障。</w:t>
      </w:r>
    </w:p>
    <w:p>
      <w:pPr>
        <w:ind w:firstLine="560"/>
      </w:pPr>
      <w:r>
        <w:rPr>
          <w:rFonts w:hint="eastAsia"/>
        </w:rPr>
        <w:t>工矿用地用途面积7.0002公顷，占比为9.21%，主要为工业用地，         实现城区与工业产业相协调发展的功能，工业用地主要建设普通工业厂房，距离最近居民区有900米环境防护距离，可加快中心城区发展，加强城市集聚功能，促进产城融合，解决剩余劳动力的就业问题，增加地方经济收入。</w:t>
      </w:r>
    </w:p>
    <w:p>
      <w:pPr>
        <w:ind w:firstLine="560"/>
        <w:sectPr>
          <w:pgSz w:w="11906" w:h="16838"/>
          <w:pgMar w:top="1440" w:right="1800" w:bottom="1440" w:left="1800" w:header="851" w:footer="992" w:gutter="0"/>
          <w:cols w:space="720" w:num="1"/>
          <w:docGrid w:type="lines" w:linePitch="312" w:charSpace="0"/>
        </w:sectPr>
      </w:pPr>
      <w:r>
        <w:rPr>
          <w:rFonts w:hint="eastAsia"/>
        </w:rPr>
        <w:t>公益性用地包含交通运输用地用途、公共管理与公共服务用地用途、绿地与开敞空间用地用途、陆地水域用途，合计31.7656公顷，占用地总面积41.80 %，符合自然资规〔2020〕5号文规定。</w:t>
      </w:r>
    </w:p>
    <w:p>
      <w:pPr>
        <w:pStyle w:val="3"/>
        <w:ind w:firstLine="643"/>
      </w:pPr>
      <w:bookmarkStart w:id="22" w:name="_Toc15254"/>
      <w:r>
        <w:rPr>
          <w:rFonts w:hint="eastAsia"/>
        </w:rPr>
        <w:t>拟建项目及实施计划</w:t>
      </w:r>
      <w:bookmarkEnd w:id="22"/>
    </w:p>
    <w:p>
      <w:pPr>
        <w:ind w:firstLine="560"/>
        <w:rPr>
          <w:color w:val="FF0000"/>
        </w:rPr>
        <w:sectPr>
          <w:pgSz w:w="11906" w:h="16838"/>
          <w:pgMar w:top="1440" w:right="1800" w:bottom="1440" w:left="1800" w:header="851" w:footer="992" w:gutter="0"/>
          <w:cols w:space="720" w:num="1"/>
          <w:docGrid w:type="lines" w:linePitch="312" w:charSpace="0"/>
        </w:sectPr>
      </w:pPr>
      <w:r>
        <w:rPr>
          <w:rFonts w:hint="eastAsia"/>
        </w:rPr>
        <w:t>本方案拟安排实施项目面积30.5625公顷，计划实施周期为2021年-2023年，3年内实施完毕，其中：2021年实施面积7.5654公顷，主要为居住区住宅项目、加油站项目、陈景润实验小学富兴校区项目、低温西式肉制品生产项目等，完成比例24.76%；2022年实施面积14.0143公顷，主要为城市道路项目、居住区住宅项目、物流仓储项目等，完成比例45.85%；2023年实施面积8.9828公顷，主要为城市公共停车场项目、物流仓储项目、绿化工程项目、河流流域建设保护项目等，完成比例29.39%。</w:t>
      </w:r>
    </w:p>
    <w:p>
      <w:pPr>
        <w:pStyle w:val="3"/>
        <w:ind w:firstLine="643"/>
      </w:pPr>
      <w:bookmarkStart w:id="23" w:name="_Toc1601"/>
      <w:r>
        <w:rPr>
          <w:rFonts w:hint="eastAsia"/>
        </w:rPr>
        <w:t>合规性分析</w:t>
      </w:r>
      <w:bookmarkEnd w:id="23"/>
    </w:p>
    <w:p>
      <w:pPr>
        <w:pStyle w:val="4"/>
        <w:ind w:firstLine="602"/>
      </w:pPr>
      <w:bookmarkStart w:id="24" w:name="_Toc26214"/>
      <w:r>
        <w:rPr>
          <w:rFonts w:hint="eastAsia"/>
        </w:rPr>
        <w:t>（一）</w:t>
      </w:r>
      <w:r>
        <w:rPr>
          <w:rFonts w:hint="eastAsia" w:cs="Times New Roman"/>
        </w:rPr>
        <w:t>国土空间规划</w:t>
      </w:r>
      <w:bookmarkEnd w:id="24"/>
    </w:p>
    <w:p>
      <w:pPr>
        <w:ind w:firstLine="560"/>
      </w:pPr>
      <w:r>
        <w:t>根据《</w:t>
      </w:r>
      <w:r>
        <w:rPr>
          <w:rFonts w:hint="eastAsia"/>
        </w:rPr>
        <w:t>三元区</w:t>
      </w:r>
      <w:r>
        <w:t>土地利用总体规划（2006-2020）</w:t>
      </w:r>
      <w:r>
        <w:rPr>
          <w:rFonts w:hint="eastAsia"/>
        </w:rPr>
        <w:t>调整方案</w:t>
      </w:r>
      <w:r>
        <w:t>》，</w:t>
      </w:r>
      <w:r>
        <w:rPr>
          <w:rFonts w:hint="eastAsia"/>
        </w:rPr>
        <w:t>三明市三元区东霞富兴堡片区土地征收成片开发区域位于土地利用总体规划确定的</w:t>
      </w:r>
      <w:r>
        <w:t>允许建设区</w:t>
      </w:r>
      <w:r>
        <w:rPr>
          <w:rFonts w:hint="eastAsia"/>
        </w:rPr>
        <w:t>和有条件建设区</w:t>
      </w:r>
      <w:r>
        <w:t>范围内</w:t>
      </w:r>
      <w:r>
        <w:rPr>
          <w:rFonts w:hint="eastAsia"/>
        </w:rPr>
        <w:t>，</w:t>
      </w:r>
      <w:r>
        <w:t>未在限制建设区和禁止建设区范围内。</w:t>
      </w:r>
      <w:r>
        <w:rPr>
          <w:rFonts w:cs="Times New Roman"/>
        </w:rPr>
        <w:t>因此</w:t>
      </w:r>
      <w:r>
        <w:rPr>
          <w:rFonts w:hint="eastAsia" w:cs="Times New Roman"/>
        </w:rPr>
        <w:t>，三</w:t>
      </w:r>
      <w:r>
        <w:rPr>
          <w:rFonts w:hint="eastAsia"/>
        </w:rPr>
        <w:t>明市三元区东霞富兴堡片区</w:t>
      </w:r>
      <w:r>
        <w:rPr>
          <w:rFonts w:cs="Times New Roman"/>
        </w:rPr>
        <w:t>的建设符合土地利用总体规划。</w:t>
      </w:r>
    </w:p>
    <w:p>
      <w:pPr>
        <w:ind w:firstLine="560"/>
        <w:rPr>
          <w:color w:val="FF0000"/>
        </w:rPr>
      </w:pPr>
      <w:r>
        <w:rPr>
          <w:rFonts w:hint="eastAsia"/>
        </w:rPr>
        <w:t>根据《</w:t>
      </w:r>
      <w:r>
        <w:t>三明市城市总体规划（2010-2030）</w:t>
      </w:r>
      <w:r>
        <w:rPr>
          <w:rFonts w:hint="eastAsia"/>
        </w:rPr>
        <w:t>》，总体规划内东霞片区主要为居住用地、商业服务业设施用地、公共管理与公共服务设施用地。用地性质符合《</w:t>
      </w:r>
      <w:r>
        <w:t>三明市城市总体规划（2010-2030）</w:t>
      </w:r>
      <w:r>
        <w:rPr>
          <w:rFonts w:hint="eastAsia"/>
        </w:rPr>
        <w:t>》</w:t>
      </w:r>
      <w:r>
        <w:t>并且不涉及总体规划中的强制性内容，在建设用地总量上也没有突破总体规划中的控制规模。</w:t>
      </w:r>
      <w:r>
        <w:rPr>
          <w:rFonts w:hint="eastAsia"/>
        </w:rPr>
        <w:t>因此，</w:t>
      </w:r>
      <w:r>
        <w:rPr>
          <w:rFonts w:hint="eastAsia" w:cs="Times New Roman"/>
        </w:rPr>
        <w:t>三</w:t>
      </w:r>
      <w:r>
        <w:rPr>
          <w:rFonts w:hint="eastAsia"/>
        </w:rPr>
        <w:t>明市三元区东霞片区土地征收成片开发</w:t>
      </w:r>
      <w:r>
        <w:t>符合《三明市城市总体规划（2010-2030）》</w:t>
      </w:r>
      <w:r>
        <w:rPr>
          <w:rFonts w:hint="eastAsia"/>
        </w:rPr>
        <w:t>。</w:t>
      </w:r>
    </w:p>
    <w:p>
      <w:pPr>
        <w:ind w:firstLine="560"/>
      </w:pPr>
      <w:r>
        <w:rPr>
          <w:rFonts w:hint="eastAsia"/>
        </w:rPr>
        <w:t>三明市人民政府承诺方案获批后，土地征收成片开发范围纳入国土空间规划确定的城镇开发边界内的集中建设区，并符合规划管控要求。</w:t>
      </w:r>
    </w:p>
    <w:p>
      <w:pPr>
        <w:pStyle w:val="4"/>
        <w:ind w:firstLine="602"/>
      </w:pPr>
      <w:bookmarkStart w:id="25" w:name="_Toc6900"/>
      <w:r>
        <w:rPr>
          <w:rFonts w:hint="eastAsia"/>
        </w:rPr>
        <w:t>（二）国民经济和社会发展规划、年度计划</w:t>
      </w:r>
      <w:bookmarkEnd w:id="25"/>
    </w:p>
    <w:p>
      <w:pPr>
        <w:ind w:firstLine="560"/>
        <w:rPr>
          <w:rFonts w:cs="Times New Roman"/>
          <w:color w:val="C00000"/>
          <w:szCs w:val="28"/>
        </w:rPr>
      </w:pPr>
      <w:r>
        <w:rPr>
          <w:rFonts w:cs="Times New Roman"/>
          <w:szCs w:val="28"/>
        </w:rPr>
        <w:t>《</w:t>
      </w:r>
      <w:r>
        <w:rPr>
          <w:rFonts w:hint="eastAsia" w:cs="Times New Roman"/>
          <w:szCs w:val="28"/>
        </w:rPr>
        <w:t>三明市三元区国民经济和社会发展第十四个五年规划和二○三五年远景目标纲要（草案）</w:t>
      </w:r>
      <w:r>
        <w:rPr>
          <w:rFonts w:cs="Times New Roman"/>
          <w:szCs w:val="28"/>
        </w:rPr>
        <w:t>》第</w:t>
      </w:r>
      <w:r>
        <w:rPr>
          <w:rFonts w:hint="eastAsia" w:cs="Times New Roman"/>
          <w:szCs w:val="28"/>
        </w:rPr>
        <w:t>二</w:t>
      </w:r>
      <w:r>
        <w:rPr>
          <w:rFonts w:cs="Times New Roman"/>
          <w:szCs w:val="28"/>
        </w:rPr>
        <w:t>章第</w:t>
      </w:r>
      <w:r>
        <w:rPr>
          <w:rFonts w:hint="eastAsia" w:cs="Times New Roman"/>
          <w:szCs w:val="28"/>
        </w:rPr>
        <w:t>一</w:t>
      </w:r>
      <w:r>
        <w:rPr>
          <w:rFonts w:cs="Times New Roman"/>
          <w:szCs w:val="28"/>
        </w:rPr>
        <w:t>节</w:t>
      </w:r>
      <w:r>
        <w:rPr>
          <w:rFonts w:hint="eastAsia" w:cs="Times New Roman"/>
          <w:szCs w:val="28"/>
        </w:rPr>
        <w:t>指出优化空间布局，建设中心城市核心区。加快南部新城向东霞、富兴堡等片区拓展，完善东霞片区商业中心建设，规划建设富兴堡槐林生态搬迁新城。因此，本项目的建设符合《三明市三元区国民经济和社会发展第十四个五年规划和二○三五年远景目标纲要（草案）》。</w:t>
      </w:r>
    </w:p>
    <w:p>
      <w:pPr>
        <w:ind w:firstLine="560"/>
        <w:rPr>
          <w:rFonts w:cs="Times New Roman"/>
          <w:szCs w:val="28"/>
        </w:rPr>
      </w:pPr>
      <w:r>
        <w:rPr>
          <w:rFonts w:hint="eastAsia" w:cs="Times New Roman"/>
          <w:szCs w:val="28"/>
        </w:rPr>
        <w:t>根据《关于三元区2020年国民经济和社会发展计划执行情况与2021年国民经济和社会发展计划草案的报告》，本方案已纳入当地国民经济和社会发展年度计划。</w:t>
      </w:r>
    </w:p>
    <w:p>
      <w:pPr>
        <w:ind w:firstLine="602"/>
        <w:outlineLvl w:val="1"/>
        <w:rPr>
          <w:b/>
          <w:bCs/>
          <w:sz w:val="30"/>
          <w:szCs w:val="32"/>
        </w:rPr>
      </w:pPr>
      <w:bookmarkStart w:id="26" w:name="_Toc32263"/>
      <w:r>
        <w:rPr>
          <w:rFonts w:hint="eastAsia"/>
          <w:b/>
          <w:bCs/>
          <w:sz w:val="30"/>
          <w:szCs w:val="32"/>
        </w:rPr>
        <w:t>（三）占用永久基本农田和其他法律法规规定不允许占用或开发的各类需要特殊保护的区域情况</w:t>
      </w:r>
      <w:bookmarkEnd w:id="26"/>
    </w:p>
    <w:p>
      <w:pPr>
        <w:kinsoku w:val="0"/>
        <w:ind w:firstLine="560"/>
        <w:rPr>
          <w:rFonts w:cs="Times New Roman"/>
          <w:bCs/>
          <w:color w:val="000000" w:themeColor="text1"/>
        </w:rPr>
      </w:pPr>
      <w:r>
        <w:rPr>
          <w:rFonts w:hint="eastAsia" w:cs="Times New Roman"/>
          <w:bCs/>
          <w:color w:val="000000" w:themeColor="text1"/>
        </w:rPr>
        <w:t>经数据分析及相关部门核实，成片开发范围内不涉及占用历史文化名城名镇名村传统村落和文物建筑历史建筑传统风貌建筑，不涉及占用生态公益林、自然保护区、饮用水水源保护区等各类保护区，不涉及占用永久基本农田和其他法律法规规定不允许占用或开发的各类需要特殊保护的区域，符合成片开发项目送审报批的要求。</w:t>
      </w:r>
    </w:p>
    <w:p>
      <w:pPr>
        <w:kinsoku w:val="0"/>
        <w:ind w:firstLine="560"/>
        <w:rPr>
          <w:rFonts w:cs="Times New Roman"/>
          <w:bCs/>
          <w:color w:val="000000" w:themeColor="text1"/>
        </w:rPr>
      </w:pPr>
      <w:r>
        <w:rPr>
          <w:rFonts w:hint="eastAsia" w:cs="Times New Roman"/>
          <w:bCs/>
          <w:color w:val="000000" w:themeColor="text1"/>
        </w:rPr>
        <w:t>根据福建省人民政府《关于加强历史文化名城名镇名村传统村落和文物建筑历史建筑传统风貌建筑保护利用九条措施的通知》（闽政办〔2020〕53号）要求，</w:t>
      </w:r>
      <w:r>
        <w:rPr>
          <w:rFonts w:hint="eastAsia"/>
        </w:rPr>
        <w:t>经三明市三元区住房和城乡建设局、三元区文体和旅游局核实</w:t>
      </w:r>
      <w:r>
        <w:rPr>
          <w:rFonts w:hint="eastAsia" w:cs="Times New Roman"/>
          <w:bCs/>
          <w:color w:val="000000" w:themeColor="text1"/>
        </w:rPr>
        <w:t>，三明市三元区第二批次土地征收成片开发项目（东霞富兴堡片区）的成片开发红线范围内</w:t>
      </w:r>
      <w:r>
        <w:rPr>
          <w:rFonts w:hint="eastAsia" w:cs="Times New Roman"/>
          <w:bCs/>
        </w:rPr>
        <w:t>，不涉及历史文化名城名镇名村传统村落和文物建筑、历史建筑、传统风貌建筑。</w:t>
      </w:r>
    </w:p>
    <w:p>
      <w:pPr>
        <w:widowControl/>
        <w:ind w:firstLine="560"/>
        <w:rPr>
          <w:rFonts w:cs="Times New Roman"/>
          <w:bCs/>
          <w:kern w:val="44"/>
        </w:rPr>
      </w:pPr>
      <w:r>
        <w:rPr>
          <w:rFonts w:hint="eastAsia" w:cs="Times New Roman"/>
          <w:bCs/>
          <w:kern w:val="44"/>
        </w:rPr>
        <w:t>根据中共中央办公厅、国务院办公厅《关于划定并严守生态保护红线的若干意见的通知》（厅字</w:t>
      </w:r>
      <w:r>
        <w:rPr>
          <w:rFonts w:hint="eastAsia" w:cs="Times New Roman"/>
          <w:bCs/>
          <w:color w:val="000000" w:themeColor="text1"/>
        </w:rPr>
        <w:t>〔</w:t>
      </w:r>
      <w:r>
        <w:rPr>
          <w:rFonts w:hint="eastAsia" w:cs="Times New Roman"/>
          <w:bCs/>
          <w:kern w:val="44"/>
        </w:rPr>
        <w:t>2017</w:t>
      </w:r>
      <w:r>
        <w:rPr>
          <w:rFonts w:hint="eastAsia" w:cs="Times New Roman"/>
          <w:bCs/>
          <w:color w:val="000000" w:themeColor="text1"/>
        </w:rPr>
        <w:t>〕</w:t>
      </w:r>
      <w:r>
        <w:rPr>
          <w:rFonts w:hint="eastAsia" w:cs="Times New Roman"/>
          <w:bCs/>
          <w:kern w:val="44"/>
        </w:rPr>
        <w:t>2号）要求，经三明市三元生态环境局核实，三明市三元区第二批次土地征收成片开发项目（东霞富兴堡片区）成片开发红线范围内，不涉及饮用水水源保护区的敏感区。</w:t>
      </w:r>
    </w:p>
    <w:p>
      <w:pPr>
        <w:ind w:firstLine="560"/>
        <w:rPr>
          <w:rFonts w:cs="Times New Roman"/>
          <w:bCs/>
          <w:color w:val="000000" w:themeColor="text1"/>
        </w:rPr>
      </w:pPr>
      <w:r>
        <w:rPr>
          <w:rFonts w:hint="eastAsia"/>
        </w:rPr>
        <w:t>根据三明市三元区永久基本农田和生态保护红线划定成果，</w:t>
      </w:r>
      <w:r>
        <w:rPr>
          <w:rFonts w:hint="eastAsia" w:cs="Times New Roman"/>
          <w:bCs/>
          <w:color w:val="000000" w:themeColor="text1"/>
        </w:rPr>
        <w:t>三明市三元区第二批次土地征收成片开发项目（东霞富兴堡片区）成片开发红线范围内，不涉及占用永久基本农田</w:t>
      </w:r>
      <w:r>
        <w:rPr>
          <w:rFonts w:hint="eastAsia"/>
        </w:rPr>
        <w:t>、</w:t>
      </w:r>
      <w:r>
        <w:t>生态保护红线</w:t>
      </w:r>
      <w:r>
        <w:rPr>
          <w:rFonts w:hint="eastAsia" w:cs="Times New Roman"/>
          <w:bCs/>
          <w:color w:val="000000" w:themeColor="text1"/>
        </w:rPr>
        <w:t>。</w:t>
      </w:r>
    </w:p>
    <w:p>
      <w:pPr>
        <w:pStyle w:val="23"/>
        <w:ind w:firstLine="560"/>
        <w:sectPr>
          <w:pgSz w:w="11906" w:h="16838"/>
          <w:pgMar w:top="1440" w:right="1800" w:bottom="1440" w:left="1800" w:header="851" w:footer="992" w:gutter="0"/>
          <w:cols w:space="720" w:num="1"/>
          <w:docGrid w:type="lines" w:linePitch="312" w:charSpace="0"/>
        </w:sectPr>
      </w:pPr>
    </w:p>
    <w:p>
      <w:pPr>
        <w:pStyle w:val="3"/>
        <w:ind w:firstLine="643"/>
      </w:pPr>
      <w:bookmarkStart w:id="27" w:name="_Toc5004"/>
      <w:r>
        <w:rPr>
          <w:rFonts w:hint="eastAsia"/>
        </w:rPr>
        <w:t>效益评估</w:t>
      </w:r>
      <w:bookmarkEnd w:id="27"/>
    </w:p>
    <w:p>
      <w:pPr>
        <w:pStyle w:val="4"/>
        <w:ind w:firstLine="602"/>
      </w:pPr>
      <w:bookmarkStart w:id="28" w:name="_Toc13385_WPSOffice_Level2"/>
      <w:bookmarkStart w:id="29" w:name="_Toc10050_WPSOffice_Level2"/>
      <w:bookmarkStart w:id="30" w:name="_Toc13911"/>
      <w:bookmarkStart w:id="31" w:name="_Toc1452"/>
      <w:bookmarkStart w:id="32" w:name="_Toc21681_WPSOffice_Level2"/>
      <w:bookmarkStart w:id="33" w:name="_Toc10766"/>
      <w:bookmarkStart w:id="34" w:name="_Toc5106"/>
      <w:bookmarkStart w:id="35" w:name="_Toc25298_WPSOffice_Level2"/>
      <w:bookmarkStart w:id="36" w:name="_Toc15340"/>
      <w:bookmarkStart w:id="37" w:name="_Toc32340"/>
      <w:bookmarkStart w:id="38" w:name="_Toc18370"/>
      <w:bookmarkStart w:id="39" w:name="_Toc17447"/>
      <w:bookmarkStart w:id="40" w:name="_Toc7027"/>
      <w:bookmarkStart w:id="41" w:name="_Toc1316"/>
      <w:r>
        <w:t>（一）土地利用效益</w:t>
      </w:r>
      <w:bookmarkEnd w:id="28"/>
      <w:bookmarkEnd w:id="29"/>
      <w:bookmarkEnd w:id="30"/>
      <w:bookmarkEnd w:id="31"/>
      <w:bookmarkEnd w:id="32"/>
      <w:bookmarkEnd w:id="33"/>
      <w:bookmarkEnd w:id="34"/>
      <w:bookmarkEnd w:id="35"/>
      <w:bookmarkEnd w:id="36"/>
      <w:bookmarkEnd w:id="37"/>
      <w:bookmarkEnd w:id="38"/>
      <w:bookmarkEnd w:id="39"/>
      <w:bookmarkEnd w:id="40"/>
      <w:bookmarkEnd w:id="41"/>
    </w:p>
    <w:p>
      <w:pPr>
        <w:ind w:firstLine="560"/>
        <w:rPr>
          <w:rFonts w:cs="Times New Roman"/>
          <w:szCs w:val="28"/>
        </w:rPr>
      </w:pPr>
      <w:r>
        <w:rPr>
          <w:rFonts w:hint="eastAsia" w:cs="Times New Roman"/>
          <w:szCs w:val="28"/>
        </w:rPr>
        <w:t>三明市三元区东霞富兴堡片区坚持“供需平衡、加强储备，盘活存量、控制增量，集约用地、确保重点”的原则。适度控制土地供应，加快旧城更新与改造；加大政府用地储备力度，为未来城市功能拓展和重要基础设施建设预留发展空间；优先保证重点项目和科教文体卫等非营利公共设施建设用地供给。</w:t>
      </w:r>
    </w:p>
    <w:p>
      <w:pPr>
        <w:ind w:firstLine="560"/>
        <w:rPr>
          <w:rFonts w:cs="Times New Roman"/>
          <w:szCs w:val="28"/>
        </w:rPr>
      </w:pPr>
      <w:r>
        <w:rPr>
          <w:rFonts w:hint="eastAsia" w:cs="Times New Roman"/>
          <w:szCs w:val="28"/>
        </w:rPr>
        <w:t>东霞富兴堡片区</w:t>
      </w:r>
      <w:r>
        <w:rPr>
          <w:rFonts w:cs="Times New Roman"/>
          <w:szCs w:val="28"/>
        </w:rPr>
        <w:t>通过采取合理出让土地的宗地规模、严格落实工业和经营性用地招标拍卖挂牌出让制度、强化用地合同管理等节约集约用地措施</w:t>
      </w:r>
      <w:r>
        <w:rPr>
          <w:rFonts w:hint="eastAsia" w:cs="Times New Roman"/>
          <w:szCs w:val="28"/>
        </w:rPr>
        <w:t>，合理安排用地规模、结构和布局，优化土地利用空间格局，因地制宜配置用地，提高现有用地使用效益，实现土地利用由粗放型向集约型的根本转变。</w:t>
      </w:r>
    </w:p>
    <w:p>
      <w:pPr>
        <w:ind w:firstLine="560"/>
      </w:pPr>
      <w:r>
        <w:rPr>
          <w:rFonts w:hint="eastAsia" w:cs="Times New Roman"/>
          <w:szCs w:val="28"/>
        </w:rPr>
        <w:t>三明市土地供应稳步增长，但开发强度存在空间差异。三元区土地总面积80028.91公顷，建设用地面积3995.75公顷，开发强度为4.99%，土地开发强度属于较高水平。三明市人均城镇住宅用地142.76平方米，三元区人均城镇建设用地为116.57平方米，根据《三明市中心城区350403-08</w:t>
      </w:r>
      <w:r>
        <w:rPr>
          <w:rFonts w:hint="eastAsia" w:ascii="仿宋" w:hAnsi="仿宋" w:eastAsia="仿宋" w:cs="仿宋"/>
          <w:szCs w:val="28"/>
        </w:rPr>
        <w:t>(富兴堡片区)单</w:t>
      </w:r>
      <w:r>
        <w:rPr>
          <w:rFonts w:hint="eastAsia" w:cs="Times New Roman"/>
          <w:szCs w:val="28"/>
        </w:rPr>
        <w:t>元控制性详细规划》，东霞富兴堡片区符合一般区域居住用地容积率控制在2.0-4.0之间的要求。因此三元区建设用地较为集约节约，并对优化建设用地空间布局，提高建设用地集约利用水平和城镇化建设水平有促进作用。</w:t>
      </w:r>
    </w:p>
    <w:p>
      <w:pPr>
        <w:pStyle w:val="4"/>
        <w:ind w:firstLine="643"/>
        <w:rPr>
          <w:bCs w:val="0"/>
          <w:sz w:val="32"/>
        </w:rPr>
      </w:pPr>
      <w:bookmarkStart w:id="42" w:name="_Toc6218"/>
      <w:r>
        <w:rPr>
          <w:rFonts w:hint="eastAsia"/>
          <w:bCs w:val="0"/>
          <w:sz w:val="32"/>
        </w:rPr>
        <w:t>（二）经济效益</w:t>
      </w:r>
      <w:bookmarkEnd w:id="42"/>
    </w:p>
    <w:p>
      <w:pPr>
        <w:pStyle w:val="26"/>
        <w:numPr>
          <w:ilvl w:val="0"/>
          <w:numId w:val="0"/>
        </w:numPr>
        <w:ind w:left="142" w:firstLine="562" w:firstLineChars="200"/>
        <w:rPr>
          <w:rFonts w:ascii="Times New Roman" w:hAnsi="Times New Roman" w:eastAsia="仿宋_GB2312" w:cs="Times New Roman"/>
          <w:shd w:val="clear" w:color="auto" w:fill="FFFFFF"/>
        </w:rPr>
      </w:pPr>
      <w:r>
        <w:rPr>
          <w:rFonts w:ascii="Times New Roman" w:hAnsi="Times New Roman" w:eastAsia="仿宋_GB2312" w:cs="Times New Roman"/>
          <w:shd w:val="clear" w:color="auto" w:fill="FFFFFF"/>
        </w:rPr>
        <w:t>1</w:t>
      </w:r>
      <w:r>
        <w:rPr>
          <w:rFonts w:hint="eastAsia" w:ascii="Times New Roman" w:hAnsi="Times New Roman" w:eastAsia="仿宋_GB2312" w:cs="Times New Roman"/>
          <w:shd w:val="clear" w:color="auto" w:fill="FFFFFF"/>
        </w:rPr>
        <w:t>.项目成本分析</w:t>
      </w:r>
    </w:p>
    <w:p>
      <w:pPr>
        <w:ind w:firstLine="560"/>
        <w:rPr>
          <w:rFonts w:cs="Times New Roman"/>
          <w:szCs w:val="28"/>
        </w:rPr>
      </w:pPr>
      <w:r>
        <w:rPr>
          <w:rFonts w:hint="eastAsia" w:cs="Times New Roman"/>
          <w:szCs w:val="28"/>
        </w:rPr>
        <w:t>东霞富兴堡征地成本：片区内土地征收面积约1150亩，参照东霞富兴堡周边片区征收成本预测，此片区土地报批征收成本取95万元/亩，则预计片区内开发成本合计约为109250万元。</w:t>
      </w:r>
    </w:p>
    <w:p>
      <w:pPr>
        <w:pStyle w:val="26"/>
        <w:numPr>
          <w:ilvl w:val="0"/>
          <w:numId w:val="0"/>
        </w:numPr>
        <w:ind w:left="142" w:firstLine="562" w:firstLineChars="200"/>
        <w:rPr>
          <w:rFonts w:ascii="仿宋_GB2312" w:hAnsi="仿宋_GB2312" w:eastAsia="仿宋_GB2312"/>
          <w:shd w:val="clear" w:color="auto" w:fill="FFFFFF"/>
        </w:rPr>
      </w:pPr>
      <w:r>
        <w:rPr>
          <w:rFonts w:hint="eastAsia" w:ascii="Times New Roman" w:hAnsi="Times New Roman" w:eastAsia="仿宋_GB2312" w:cs="Times New Roman"/>
          <w:shd w:val="clear" w:color="auto" w:fill="FFFFFF"/>
        </w:rPr>
        <w:t>2.项</w:t>
      </w:r>
      <w:r>
        <w:rPr>
          <w:rFonts w:hint="eastAsia" w:ascii="仿宋_GB2312" w:hAnsi="仿宋_GB2312" w:eastAsia="仿宋_GB2312"/>
          <w:shd w:val="clear" w:color="auto" w:fill="FFFFFF"/>
        </w:rPr>
        <w:t>目出让收益分析</w:t>
      </w:r>
    </w:p>
    <w:p>
      <w:pPr>
        <w:ind w:firstLine="560"/>
        <w:rPr>
          <w:rFonts w:cs="Times New Roman"/>
          <w:szCs w:val="28"/>
        </w:rPr>
      </w:pPr>
      <w:r>
        <w:rPr>
          <w:rFonts w:hint="eastAsia" w:cs="Times New Roman"/>
          <w:szCs w:val="28"/>
        </w:rPr>
        <w:t>东霞富兴堡片区合计可出让面积约为1150亩，参考东霞富兴堡周边片区出让单价情况，按楼面价2500元/平方米，容积率2.2测算，则片区内出让金收入约为130000万元。</w:t>
      </w:r>
    </w:p>
    <w:p>
      <w:pPr>
        <w:ind w:firstLine="560"/>
        <w:rPr>
          <w:rFonts w:cs="Times New Roman"/>
          <w:szCs w:val="28"/>
        </w:rPr>
      </w:pPr>
      <w:r>
        <w:rPr>
          <w:rFonts w:hint="eastAsia" w:cs="Times New Roman"/>
          <w:szCs w:val="28"/>
        </w:rPr>
        <w:t>扣除片区内开发成本，片区内开发出让净收益约为20750万元。</w:t>
      </w:r>
    </w:p>
    <w:p>
      <w:pPr>
        <w:pStyle w:val="26"/>
        <w:numPr>
          <w:ilvl w:val="0"/>
          <w:numId w:val="0"/>
        </w:numPr>
        <w:ind w:left="142" w:firstLine="562" w:firstLineChars="200"/>
        <w:rPr>
          <w:rFonts w:ascii="仿宋_GB2312" w:hAnsi="仿宋_GB2312" w:eastAsia="仿宋_GB2312"/>
          <w:shd w:val="clear" w:color="auto" w:fill="FFFFFF"/>
        </w:rPr>
      </w:pPr>
      <w:r>
        <w:rPr>
          <w:rFonts w:hint="eastAsia" w:ascii="Times New Roman" w:hAnsi="Times New Roman" w:eastAsia="仿宋_GB2312" w:cs="Times New Roman"/>
          <w:shd w:val="clear" w:color="auto" w:fill="FFFFFF"/>
        </w:rPr>
        <w:t>3</w:t>
      </w:r>
      <w:r>
        <w:rPr>
          <w:rFonts w:hint="eastAsia" w:ascii="仿宋_GB2312" w:hAnsi="仿宋_GB2312" w:eastAsia="仿宋_GB2312"/>
          <w:shd w:val="clear" w:color="auto" w:fill="FFFFFF"/>
        </w:rPr>
        <w:t>.有利于调整城区经济的结构</w:t>
      </w:r>
    </w:p>
    <w:p>
      <w:pPr>
        <w:ind w:firstLine="560"/>
        <w:rPr>
          <w:rFonts w:cs="Times New Roman"/>
          <w:szCs w:val="28"/>
        </w:rPr>
      </w:pPr>
      <w:r>
        <w:rPr>
          <w:rFonts w:hint="eastAsia" w:cs="Times New Roman"/>
          <w:szCs w:val="28"/>
        </w:rPr>
        <w:t>随着三明市经济的快速发展，市区用地紧张、成本大幅攀升，竞争激烈等情况越来越突出，城区经济要持续稳定发展，必须进行用地结构调整。通过城区的开发建设，可以有效的提升城区整体形象和城区综合实力，使城区经济效益最大化。项目建设有利于推动城区经济结构调整，促进产业和地方经济发展，增强三明市城区的竞争力，经济和社会效益显著。</w:t>
      </w:r>
    </w:p>
    <w:p>
      <w:pPr>
        <w:pStyle w:val="4"/>
        <w:ind w:firstLine="643"/>
        <w:rPr>
          <w:bCs w:val="0"/>
          <w:sz w:val="32"/>
        </w:rPr>
      </w:pPr>
      <w:bookmarkStart w:id="43" w:name="_Toc24918"/>
      <w:r>
        <w:rPr>
          <w:rFonts w:hint="eastAsia"/>
          <w:bCs w:val="0"/>
          <w:sz w:val="32"/>
        </w:rPr>
        <w:t>（三）社会效益</w:t>
      </w:r>
      <w:bookmarkEnd w:id="43"/>
    </w:p>
    <w:p>
      <w:pPr>
        <w:ind w:firstLine="560"/>
        <w:rPr>
          <w:rFonts w:cs="Times New Roman"/>
          <w:szCs w:val="28"/>
        </w:rPr>
      </w:pPr>
      <w:r>
        <w:rPr>
          <w:rFonts w:hint="eastAsia" w:cs="Times New Roman"/>
          <w:szCs w:val="28"/>
        </w:rPr>
        <w:t>在国家“一带一路”</w:t>
      </w:r>
      <w:r>
        <w:rPr>
          <w:rFonts w:hint="eastAsia" w:cs="Times New Roman"/>
          <w:szCs w:val="28"/>
          <w:lang w:eastAsia="zh-CN"/>
        </w:rPr>
        <w:t>倡议</w:t>
      </w:r>
      <w:bookmarkStart w:id="51" w:name="_GoBack"/>
      <w:bookmarkEnd w:id="51"/>
      <w:r>
        <w:rPr>
          <w:rFonts w:hint="eastAsia" w:cs="Times New Roman"/>
          <w:szCs w:val="28"/>
        </w:rPr>
        <w:t>引领下，福建全力打造21世纪海上丝</w:t>
      </w:r>
    </w:p>
    <w:p>
      <w:pPr>
        <w:ind w:firstLine="0" w:firstLineChars="0"/>
        <w:rPr>
          <w:rFonts w:cs="Times New Roman"/>
          <w:szCs w:val="28"/>
        </w:rPr>
      </w:pPr>
      <w:r>
        <w:rPr>
          <w:rFonts w:hint="eastAsia" w:cs="Times New Roman"/>
          <w:szCs w:val="28"/>
        </w:rPr>
        <w:t>绸之路核心区，福建自由贸易试验区提速建设，扩大对外开放之路正踏上新起点、进入新阶段、实现新跨越。三明市也是作为“一带一路”核心区建设的重要支点，具有利用区位、资源、人文以及开放等有利条件，具备实现跨越发展的重要契机。</w:t>
      </w:r>
    </w:p>
    <w:p>
      <w:pPr>
        <w:ind w:firstLine="560"/>
        <w:rPr>
          <w:rFonts w:cs="Times New Roman"/>
          <w:szCs w:val="28"/>
        </w:rPr>
      </w:pPr>
      <w:r>
        <w:rPr>
          <w:rFonts w:hint="eastAsia" w:cs="Times New Roman"/>
          <w:szCs w:val="28"/>
        </w:rPr>
        <w:t>本项目的实施不仅能够带来相当的经济效益，而且也能够为社会发展奠定良好基础。首先是有利于促进三明革命老区的改革、发展和稳定，通过经济转型缩小与沿海发达地区的差距，有利于人口、资源、环境的可持续发展，其次是在一定程度解决了地区就业问题，成片开发的建设可以为社会提供一定数量的就业机会，解决剩余劳动力的就业问题，减轻社会就业压力，增加地方经济收入，更好地促进社会繁荣稳定发挥着积极的作用。另外，可以实现三明市与省内沿海地区及其他省市的有效互动，促进地区经济社会可持续发展。</w:t>
      </w:r>
    </w:p>
    <w:p>
      <w:pPr>
        <w:ind w:firstLine="560"/>
        <w:rPr>
          <w:rFonts w:cs="Times New Roman"/>
          <w:szCs w:val="28"/>
        </w:rPr>
      </w:pPr>
      <w:r>
        <w:rPr>
          <w:rFonts w:hint="eastAsia" w:cs="Times New Roman"/>
          <w:szCs w:val="28"/>
        </w:rPr>
        <w:t>东霞富兴堡片区土地征收成片开发项目对构成三明“青山环城、绿水串城”的山水格局具有十分重要的意义；方案的实施有利于三明中心城区“一线双城、带状组团”的空间结构优化；本项目致力于将三明中心城区打造成以以文化、体育为主导，功能配套完善的城市综合体；有利于带动科技、教育、文化、卫生等各项社会事业发展；有利于缩小城乡差距，促进城乡一体化，实现城乡经济社会的协调发展。</w:t>
      </w:r>
    </w:p>
    <w:p>
      <w:pPr>
        <w:pStyle w:val="4"/>
        <w:ind w:firstLine="602"/>
      </w:pPr>
      <w:bookmarkStart w:id="44" w:name="_Toc4076"/>
      <w:r>
        <w:t>（</w:t>
      </w:r>
      <w:r>
        <w:rPr>
          <w:rFonts w:hint="eastAsia"/>
        </w:rPr>
        <w:t>四</w:t>
      </w:r>
      <w:r>
        <w:t>）生态效益</w:t>
      </w:r>
      <w:bookmarkEnd w:id="44"/>
    </w:p>
    <w:p>
      <w:pPr>
        <w:ind w:firstLine="560"/>
        <w:rPr>
          <w:rFonts w:cs="Times New Roman"/>
          <w:szCs w:val="28"/>
        </w:rPr>
      </w:pPr>
      <w:r>
        <w:rPr>
          <w:rFonts w:hint="eastAsia" w:cs="Times New Roman"/>
          <w:szCs w:val="28"/>
        </w:rPr>
        <w:t>由于历史原因，三明三元区老城区布局混乱，密度较高，负荷过重，造成了新的环境恶化问题，在老城区外围进行集中成片开发建设，达到疏散和降低老城区人口密度、调整和缓解老城区压力，完善和改善老城区环境的目的，从而加强与完善城市功能，繁荣与发展城市经济，推动城市社会进步。</w:t>
      </w:r>
    </w:p>
    <w:p>
      <w:pPr>
        <w:ind w:firstLine="560"/>
        <w:rPr>
          <w:rFonts w:cs="Times New Roman"/>
          <w:szCs w:val="28"/>
        </w:rPr>
      </w:pPr>
      <w:r>
        <w:rPr>
          <w:rFonts w:hint="eastAsia" w:cs="Times New Roman"/>
          <w:szCs w:val="28"/>
        </w:rPr>
        <w:t>近年来，随着三明城市化进程的加速、人口的增多和环境的恶化，</w:t>
      </w:r>
    </w:p>
    <w:p>
      <w:pPr>
        <w:ind w:firstLine="0" w:firstLineChars="0"/>
        <w:rPr>
          <w:rFonts w:cs="Times New Roman"/>
          <w:szCs w:val="28"/>
        </w:rPr>
      </w:pPr>
      <w:r>
        <w:rPr>
          <w:rFonts w:hint="eastAsia" w:cs="Times New Roman"/>
          <w:szCs w:val="28"/>
        </w:rPr>
        <w:t>已越来越认识到加强绿化生态建设对促进经济可持续发展战略的重要性。同时，随着城市建设向生态、绿色、环保型发展，公共绿地成为环境建设越来越重要的组成部分。</w:t>
      </w:r>
    </w:p>
    <w:p>
      <w:pPr>
        <w:ind w:firstLine="560"/>
        <w:rPr>
          <w:rFonts w:cs="Times New Roman"/>
          <w:szCs w:val="28"/>
        </w:rPr>
      </w:pPr>
      <w:r>
        <w:rPr>
          <w:rFonts w:hint="eastAsia" w:cs="Times New Roman"/>
          <w:szCs w:val="28"/>
        </w:rPr>
        <w:t>东霞富兴堡片区土地征收成片开发项目进一步均衡了公共绿地布局，有效缓解了公共绿地整体分布不均衡、核心区公共绿地缺失的问题；利用绿地改善气候条件、净化空气质量、降温增湿、改善光照、净化大气污染物、杀菌等功能，进一步发挥改善城市环境的生态效应和作用，同时，有利于提高了区域总体环境品质，有利于营造良好的宜居环境。</w:t>
      </w:r>
    </w:p>
    <w:p>
      <w:pPr>
        <w:ind w:firstLine="560"/>
      </w:pPr>
      <w:r>
        <w:rPr>
          <w:rFonts w:hint="eastAsia"/>
        </w:rPr>
        <w:t>成片开发范围内不占用永久基本农田、生态保护红线和饮用水水源保护区、自然保护区等各类保护区，而且已保留了9.8494公顷的公园绿地和防护绿地等具有生态保护功能的非建设用地，居住区距离最近的仓储物流用地有成片绿地相隔，不会对附近居民生产生活产生不良效益。</w:t>
      </w:r>
    </w:p>
    <w:p>
      <w:pPr>
        <w:ind w:firstLine="560"/>
      </w:pPr>
    </w:p>
    <w:p>
      <w:pPr>
        <w:ind w:firstLine="560"/>
        <w:sectPr>
          <w:pgSz w:w="11906" w:h="16838"/>
          <w:pgMar w:top="1440" w:right="1800" w:bottom="1440" w:left="1800" w:header="851" w:footer="992" w:gutter="0"/>
          <w:cols w:space="720" w:num="1"/>
          <w:docGrid w:type="lines" w:linePitch="312" w:charSpace="0"/>
        </w:sectPr>
      </w:pPr>
    </w:p>
    <w:p>
      <w:pPr>
        <w:pStyle w:val="3"/>
        <w:ind w:firstLine="643"/>
      </w:pPr>
      <w:bookmarkStart w:id="45" w:name="_Toc813"/>
      <w:r>
        <w:rPr>
          <w:rFonts w:hint="eastAsia"/>
        </w:rPr>
        <w:t>征求意见情况</w:t>
      </w:r>
      <w:bookmarkEnd w:id="45"/>
    </w:p>
    <w:p>
      <w:pPr>
        <w:ind w:firstLine="602"/>
        <w:outlineLvl w:val="1"/>
        <w:rPr>
          <w:b/>
          <w:bCs/>
          <w:sz w:val="30"/>
          <w:szCs w:val="32"/>
        </w:rPr>
      </w:pPr>
      <w:bookmarkStart w:id="46" w:name="_Toc6094"/>
      <w:r>
        <w:rPr>
          <w:rFonts w:hint="eastAsia"/>
          <w:b/>
          <w:bCs/>
          <w:sz w:val="30"/>
          <w:szCs w:val="32"/>
        </w:rPr>
        <w:t>（一）听取人大代表、政协委员、社会公众和有关专家学者意见</w:t>
      </w:r>
      <w:bookmarkEnd w:id="46"/>
    </w:p>
    <w:p>
      <w:pPr>
        <w:widowControl/>
        <w:ind w:firstLine="560"/>
        <w:jc w:val="left"/>
      </w:pPr>
      <w:bookmarkStart w:id="47" w:name="_Toc22990"/>
      <w:r>
        <w:rPr>
          <w:rFonts w:hint="eastAsia" w:cs="Times New Roman"/>
        </w:rPr>
        <w:t>2020年12月4日，三明市人民政府组织召开三明市三元区东霞富兴堡片区土地征收成片开发方案征求意见会，听取了人大代表、政协委员、社会公众和土地、规划、法律、环保、产业等相关专家学者的意见，经充分讨论，同意本方案</w:t>
      </w:r>
      <w:r>
        <w:rPr>
          <w:rFonts w:hint="eastAsia"/>
          <w:sz w:val="32"/>
          <w:szCs w:val="32"/>
        </w:rPr>
        <w:t>。</w:t>
      </w:r>
      <w:r>
        <w:rPr>
          <w:rFonts w:ascii="仿宋" w:hAnsi="仿宋" w:eastAsia="仿宋" w:cs="仿宋"/>
          <w:color w:val="000000"/>
          <w:kern w:val="0"/>
          <w:szCs w:val="28"/>
        </w:rPr>
        <w:t>为进一步完善方案，人大代表、政协委员、</w:t>
      </w:r>
      <w:r>
        <w:rPr>
          <w:rFonts w:hint="eastAsia" w:ascii="仿宋" w:hAnsi="仿宋" w:eastAsia="仿宋" w:cs="仿宋"/>
          <w:color w:val="000000"/>
          <w:kern w:val="0"/>
          <w:szCs w:val="28"/>
        </w:rPr>
        <w:t>社会公众和有关专家提出相关的意见和建议，本方案已根据意见修改完善。</w:t>
      </w:r>
    </w:p>
    <w:bookmarkEnd w:id="47"/>
    <w:p>
      <w:pPr>
        <w:ind w:firstLine="602"/>
        <w:outlineLvl w:val="1"/>
        <w:rPr>
          <w:b/>
          <w:bCs/>
          <w:sz w:val="30"/>
          <w:szCs w:val="32"/>
        </w:rPr>
      </w:pPr>
      <w:bookmarkStart w:id="48" w:name="_Toc3185"/>
      <w:r>
        <w:rPr>
          <w:rFonts w:hint="eastAsia"/>
          <w:b/>
          <w:bCs/>
          <w:sz w:val="30"/>
          <w:szCs w:val="32"/>
        </w:rPr>
        <w:t>（二）征求集体经济组织和农民意见情况</w:t>
      </w:r>
      <w:bookmarkEnd w:id="48"/>
    </w:p>
    <w:p>
      <w:pPr>
        <w:ind w:firstLine="560"/>
      </w:pPr>
      <w:r>
        <w:rPr>
          <w:rFonts w:hint="eastAsia" w:cs="Times New Roman"/>
          <w:szCs w:val="28"/>
        </w:rPr>
        <w:t>2020年12月8日，本方案所涉及的</w:t>
      </w:r>
      <w:r>
        <w:rPr>
          <w:rFonts w:hint="eastAsia"/>
        </w:rPr>
        <w:t>城关街道城东村组织召开村民代表会议，村民代表会议应到54人，实到49人，参会代表超过三分之二。49人参会代表均同意成片开发方案，符合达到三分之二以上村民代表同意的规定。</w:t>
      </w:r>
    </w:p>
    <w:p>
      <w:pPr>
        <w:ind w:firstLine="560"/>
      </w:pPr>
      <w:r>
        <w:rPr>
          <w:rFonts w:hint="eastAsia" w:cs="Times New Roman"/>
          <w:szCs w:val="28"/>
        </w:rPr>
        <w:t>2020年12月8日，本方案所涉及的</w:t>
      </w:r>
      <w:r>
        <w:rPr>
          <w:rFonts w:hint="eastAsia"/>
        </w:rPr>
        <w:t>富兴堡街道城南村组织召开村民代表会议，村民代表会议应到51人，实到47人，参会代表超过三分之二。47人参会代表均同意成片开发方案，符合达到三分之二以上村民代表同意的规定。</w:t>
      </w:r>
    </w:p>
    <w:p>
      <w:pPr>
        <w:ind w:firstLine="560"/>
      </w:pPr>
      <w:r>
        <w:rPr>
          <w:rFonts w:hint="eastAsia" w:cs="Times New Roman"/>
          <w:szCs w:val="28"/>
        </w:rPr>
        <w:t>因此，本方案已征求成片开发范围涉及的</w:t>
      </w:r>
      <w:r>
        <w:rPr>
          <w:rFonts w:hint="eastAsia"/>
        </w:rPr>
        <w:t>三明市三元区城关街道城东村和富兴堡街道城南村2个街道2个村</w:t>
      </w:r>
      <w:r>
        <w:rPr>
          <w:rFonts w:hint="eastAsia" w:cs="Times New Roman"/>
          <w:szCs w:val="28"/>
        </w:rPr>
        <w:t>的集体经济组织的意见，均达到三分之二以上村民代表同意的规定。</w:t>
      </w:r>
    </w:p>
    <w:p>
      <w:pPr>
        <w:ind w:firstLine="560"/>
      </w:pPr>
    </w:p>
    <w:p>
      <w:pPr>
        <w:ind w:firstLine="602"/>
        <w:outlineLvl w:val="1"/>
        <w:rPr>
          <w:b/>
          <w:bCs/>
          <w:sz w:val="30"/>
          <w:szCs w:val="32"/>
        </w:rPr>
      </w:pPr>
      <w:bookmarkStart w:id="49" w:name="_Toc24040"/>
      <w:r>
        <w:rPr>
          <w:rFonts w:hint="eastAsia"/>
          <w:b/>
          <w:bCs/>
          <w:sz w:val="30"/>
          <w:szCs w:val="32"/>
        </w:rPr>
        <w:t>（三）公告公示情况</w:t>
      </w:r>
      <w:bookmarkEnd w:id="49"/>
    </w:p>
    <w:p>
      <w:pPr>
        <w:ind w:firstLine="560"/>
        <w:rPr>
          <w:rFonts w:eastAsia="仿宋" w:cs="Times New Roman"/>
          <w:szCs w:val="28"/>
        </w:rPr>
      </w:pPr>
      <w:r>
        <w:rPr>
          <w:rFonts w:hint="eastAsia" w:eastAsia="仿宋" w:cs="Times New Roman"/>
          <w:szCs w:val="28"/>
        </w:rPr>
        <w:t>成片开发</w:t>
      </w:r>
      <w:r>
        <w:rPr>
          <w:rFonts w:eastAsia="仿宋" w:cs="Times New Roman"/>
          <w:szCs w:val="28"/>
        </w:rPr>
        <w:t>方案根据各方意见修改</w:t>
      </w:r>
      <w:r>
        <w:rPr>
          <w:rFonts w:hint="eastAsia" w:eastAsia="仿宋" w:cs="Times New Roman"/>
          <w:szCs w:val="28"/>
        </w:rPr>
        <w:t>后</w:t>
      </w:r>
      <w:r>
        <w:rPr>
          <w:rFonts w:eastAsia="仿宋" w:cs="Times New Roman"/>
          <w:szCs w:val="28"/>
        </w:rPr>
        <w:t>，</w:t>
      </w:r>
      <w:r>
        <w:rPr>
          <w:rFonts w:hint="eastAsia" w:eastAsia="仿宋" w:cs="Times New Roman"/>
          <w:szCs w:val="28"/>
        </w:rPr>
        <w:t>将</w:t>
      </w:r>
      <w:r>
        <w:rPr>
          <w:rFonts w:eastAsia="仿宋" w:cs="Times New Roman"/>
          <w:szCs w:val="28"/>
        </w:rPr>
        <w:t>在</w:t>
      </w:r>
      <w:r>
        <w:rPr>
          <w:rFonts w:hint="eastAsia" w:eastAsia="仿宋" w:cs="Times New Roman"/>
          <w:szCs w:val="28"/>
        </w:rPr>
        <w:t>三明市</w:t>
      </w:r>
      <w:r>
        <w:rPr>
          <w:rFonts w:eastAsia="仿宋" w:cs="Times New Roman"/>
          <w:szCs w:val="28"/>
        </w:rPr>
        <w:t>自然资源局门户网站进行公示。</w:t>
      </w:r>
    </w:p>
    <w:p>
      <w:pPr>
        <w:widowControl/>
        <w:ind w:firstLine="560"/>
        <w:jc w:val="left"/>
        <w:rPr>
          <w:rFonts w:cs="Times New Roman"/>
        </w:rPr>
      </w:pPr>
    </w:p>
    <w:p>
      <w:pPr>
        <w:pStyle w:val="2"/>
        <w:ind w:firstLine="360"/>
        <w:sectPr>
          <w:pgSz w:w="11906" w:h="16838"/>
          <w:pgMar w:top="1440" w:right="1800" w:bottom="1440" w:left="1800" w:header="851" w:footer="992" w:gutter="0"/>
          <w:cols w:space="720" w:num="1"/>
          <w:docGrid w:type="lines" w:linePitch="312" w:charSpace="0"/>
        </w:sectPr>
      </w:pPr>
    </w:p>
    <w:p>
      <w:pPr>
        <w:pStyle w:val="3"/>
        <w:ind w:left="560" w:leftChars="200" w:firstLine="0" w:firstLineChars="0"/>
      </w:pPr>
      <w:bookmarkStart w:id="50" w:name="_Toc18064"/>
      <w:r>
        <w:rPr>
          <w:rFonts w:hint="eastAsia"/>
        </w:rPr>
        <w:t>十、结论</w:t>
      </w:r>
      <w:bookmarkEnd w:id="50"/>
    </w:p>
    <w:p>
      <w:pPr>
        <w:ind w:firstLine="560"/>
        <w:rPr>
          <w:szCs w:val="28"/>
        </w:rPr>
      </w:pPr>
      <w:r>
        <w:rPr>
          <w:rFonts w:hint="eastAsia"/>
          <w:szCs w:val="28"/>
        </w:rPr>
        <w:t>本土地征收成片开发方案符合国民经济和社会发展规划、土地利用总体规划、城乡规划和专项规划，已纳入国民经济和社会发展年度计划，符合部省规定的标准，做到了保护耕地、维护农民合法权益、节约集约用地、保护生态环境，能够促进经济社会可持续发展。</w:t>
      </w: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left="1400" w:leftChars="200" w:hanging="840" w:hangingChars="300"/>
      </w:pPr>
      <w:r>
        <w:rPr>
          <w:rFonts w:hint="eastAsia"/>
          <w:sz w:val="28"/>
          <w:szCs w:val="28"/>
        </w:rPr>
        <w:t>附件：三明市三元区2021年度第二批次土地征收成片开发方案（01方案）-成片开发位置示意图</w:t>
      </w:r>
    </w:p>
    <w:p>
      <w:pPr>
        <w:pStyle w:val="2"/>
        <w:ind w:firstLine="360"/>
      </w:pPr>
      <w:r>
        <w:rPr>
          <w:rFonts w:hint="eastAsia"/>
        </w:rPr>
        <w:drawing>
          <wp:inline distT="0" distB="0" distL="114300" distR="114300">
            <wp:extent cx="5271135" cy="7454900"/>
            <wp:effectExtent l="0" t="0" r="5715" b="12700"/>
            <wp:docPr id="2" name="图片 2" descr="1.三明市三元区2021年度第二批次土地征收成片开发方案（01方案）-成片开发位置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三明市三元区2021年度第二批次土地征收成片开发方案（01方案）-成片开发位置示意图"/>
                    <pic:cNvPicPr>
                      <a:picLocks noChangeAspect="1"/>
                    </pic:cNvPicPr>
                  </pic:nvPicPr>
                  <pic:blipFill>
                    <a:blip r:embed="rId14" cstate="print"/>
                    <a:stretch>
                      <a:fillRect/>
                    </a:stretch>
                  </pic:blipFill>
                  <pic:spPr>
                    <a:xfrm>
                      <a:off x="0" y="0"/>
                      <a:ext cx="5271135" cy="7454900"/>
                    </a:xfrm>
                    <a:prstGeom prst="rect">
                      <a:avLst/>
                    </a:prstGeom>
                  </pic:spPr>
                </pic:pic>
              </a:graphicData>
            </a:graphic>
          </wp:inline>
        </w:drawing>
      </w:r>
    </w:p>
    <w:sectPr>
      <w:footerReference r:id="rId12"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r>
      <w:pict>
        <v:rect id="文本框 1" o:spid="_x0000_s1026" o:spt="1"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FZnSLvEAQAAjwMAAA4AAAAAAAAAAQAgAAAAHwEAAGRycy9lMm9Eb2MueG1s&#10;UEsFBgAAAAAGAAYAWQEAAFUFAAAAAA==&#10;">
          <v:path/>
          <v:fill on="f" focussize="0,0"/>
          <v:stroke on="f"/>
          <v:imagedata o:title=""/>
          <o:lock v:ext="edit"/>
          <v:textbox inset="0mm,0mm,0mm,0mm" style="mso-fit-shape-to-text:t;">
            <w:txbxContent>
              <w:p>
                <w:pPr>
                  <w:pStyle w:val="8"/>
                  <w:ind w:firstLine="360"/>
                </w:pPr>
                <w:r>
                  <w:fldChar w:fldCharType="begin"/>
                </w:r>
                <w:r>
                  <w:instrText xml:space="preserve"> PAGE  \* MERGEFORMAT </w:instrText>
                </w:r>
                <w:r>
                  <w:fldChar w:fldCharType="separate"/>
                </w:r>
                <w:r>
                  <w:t>17</w:t>
                </w:r>
                <w:r>
                  <w:fldChar w:fldCharType="end"/>
                </w:r>
              </w:p>
            </w:txbxContent>
          </v:textbox>
        </v:rect>
      </w:pict>
    </w:r>
    <w:r>
      <w:pict>
        <v:rect id="文本框 4" o:spid="_x0000_s1028"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EpUdO/EAQAAjwMAAA4AAAAAAAAAAQAgAAAAHwEAAGRycy9lMm9Eb2MueG1s&#10;UEsFBgAAAAAGAAYAWQEAAFUFAAAAAA==&#10;">
          <v:path/>
          <v:fill on="f" focussize="0,0"/>
          <v:stroke on="f"/>
          <v:imagedata o:title=""/>
          <o:lock v:ext="edit"/>
          <v:textbox inset="0mm,0mm,0mm,0mm" style="mso-fit-shape-to-text:t;">
            <w:txbxContent>
              <w:p>
                <w:pPr>
                  <w:pStyle w:val="8"/>
                  <w:ind w:firstLine="360"/>
                </w:pPr>
              </w:p>
            </w:txbxContent>
          </v:textbox>
        </v:rect>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r>
      <w:pict>
        <v:rect id="_x0000_s1027" o:spid="_x0000_s1027" o:spt="1"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5dblS0AAAAAUBAAAPAAAAAAAAAAEAIAAAACIAAABkcnMvZG93bnJldi54bWxQSwECFAAU&#10;AAAACACHTuJAbSffbcABAACMAwAADgAAAAAAAAABACAAAAAfAQAAZHJzL2Uyb0RvYy54bWxQSwUG&#10;AAAAAAYABgBZAQAAUQUAAAAA&#10;">
          <v:path/>
          <v:fill on="f" focussize="0,0"/>
          <v:stroke on="f"/>
          <v:imagedata o:title=""/>
          <o:lock v:ext="edit"/>
          <v:textbox inset="0mm,0mm,0mm,0mm" style="mso-fit-shape-to-text:t;">
            <w:txbxContent>
              <w:p>
                <w:pPr>
                  <w:pStyle w:val="8"/>
                  <w:ind w:firstLine="360"/>
                </w:pPr>
                <w:r>
                  <w:fldChar w:fldCharType="begin"/>
                </w:r>
                <w:r>
                  <w:instrText xml:space="preserve"> PAGE  \* MERGEFORMAT </w:instrText>
                </w:r>
                <w:r>
                  <w:fldChar w:fldCharType="separate"/>
                </w:r>
                <w:r>
                  <w:t>26</w:t>
                </w:r>
                <w:r>
                  <w:fldChar w:fldCharType="end"/>
                </w:r>
              </w:p>
            </w:txbxContent>
          </v:textbox>
        </v:rec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448349"/>
    <w:multiLevelType w:val="singleLevel"/>
    <w:tmpl w:val="BF448349"/>
    <w:lvl w:ilvl="0" w:tentative="0">
      <w:start w:val="1"/>
      <w:numFmt w:val="chineseCounting"/>
      <w:suff w:val="nothing"/>
      <w:lvlText w:val="%1、"/>
      <w:lvlJc w:val="left"/>
      <w:rPr>
        <w:rFonts w:hint="eastAsia"/>
      </w:rPr>
    </w:lvl>
  </w:abstractNum>
  <w:abstractNum w:abstractNumId="1">
    <w:nsid w:val="D50D4A5C"/>
    <w:multiLevelType w:val="singleLevel"/>
    <w:tmpl w:val="D50D4A5C"/>
    <w:lvl w:ilvl="0" w:tentative="0">
      <w:start w:val="1"/>
      <w:numFmt w:val="chineseCounting"/>
      <w:pStyle w:val="30"/>
      <w:suff w:val="nothing"/>
      <w:lvlText w:val="%1、"/>
      <w:lvlJc w:val="left"/>
      <w:pPr>
        <w:ind w:left="0" w:firstLine="420"/>
      </w:pPr>
      <w:rPr>
        <w:rFonts w:hint="eastAsia"/>
      </w:rPr>
    </w:lvl>
  </w:abstractNum>
  <w:abstractNum w:abstractNumId="2">
    <w:nsid w:val="DC05455D"/>
    <w:multiLevelType w:val="singleLevel"/>
    <w:tmpl w:val="DC05455D"/>
    <w:lvl w:ilvl="0" w:tentative="0">
      <w:start w:val="1"/>
      <w:numFmt w:val="chineseCounting"/>
      <w:suff w:val="nothing"/>
      <w:lvlText w:val="（%1）"/>
      <w:lvlJc w:val="left"/>
      <w:rPr>
        <w:rFonts w:hint="eastAsia"/>
      </w:rPr>
    </w:lvl>
  </w:abstractNum>
  <w:abstractNum w:abstractNumId="3">
    <w:nsid w:val="3C7F15DD"/>
    <w:multiLevelType w:val="multilevel"/>
    <w:tmpl w:val="3C7F15DD"/>
    <w:lvl w:ilvl="0" w:tentative="0">
      <w:start w:val="1"/>
      <w:numFmt w:val="chineseCountingThousand"/>
      <w:pStyle w:val="21"/>
      <w:lvlText w:val="(%1)"/>
      <w:lvlJc w:val="left"/>
      <w:pPr>
        <w:ind w:left="1022" w:hanging="420"/>
      </w:pPr>
      <w:rPr>
        <w:b/>
        <w:bCs w:val="0"/>
        <w:i w:val="0"/>
        <w:iCs w:val="0"/>
        <w:caps w:val="0"/>
        <w:smallCaps w:val="0"/>
        <w:strike w:val="0"/>
        <w:dstrike w:val="0"/>
        <w:outline w:val="0"/>
        <w:shadow w:val="0"/>
        <w:spacing w:val="0"/>
        <w:position w:val="0"/>
        <w:u w:val="none"/>
      </w:rPr>
    </w:lvl>
    <w:lvl w:ilvl="1" w:tentative="0">
      <w:start w:val="1"/>
      <w:numFmt w:val="lowerLetter"/>
      <w:lvlText w:val="%2)"/>
      <w:lvlJc w:val="left"/>
      <w:pPr>
        <w:ind w:left="1442" w:hanging="420"/>
      </w:pPr>
    </w:lvl>
    <w:lvl w:ilvl="2" w:tentative="0">
      <w:start w:val="1"/>
      <w:numFmt w:val="lowerRoman"/>
      <w:lvlText w:val="%3."/>
      <w:lvlJc w:val="right"/>
      <w:pPr>
        <w:ind w:left="1862" w:hanging="420"/>
      </w:pPr>
    </w:lvl>
    <w:lvl w:ilvl="3" w:tentative="0">
      <w:start w:val="1"/>
      <w:numFmt w:val="decimal"/>
      <w:lvlText w:val="%4."/>
      <w:lvlJc w:val="left"/>
      <w:pPr>
        <w:ind w:left="2282" w:hanging="420"/>
      </w:pPr>
    </w:lvl>
    <w:lvl w:ilvl="4" w:tentative="0">
      <w:start w:val="1"/>
      <w:numFmt w:val="lowerLetter"/>
      <w:lvlText w:val="%5)"/>
      <w:lvlJc w:val="left"/>
      <w:pPr>
        <w:ind w:left="2702" w:hanging="420"/>
      </w:pPr>
    </w:lvl>
    <w:lvl w:ilvl="5" w:tentative="0">
      <w:start w:val="1"/>
      <w:numFmt w:val="lowerRoman"/>
      <w:lvlText w:val="%6."/>
      <w:lvlJc w:val="right"/>
      <w:pPr>
        <w:ind w:left="3122" w:hanging="420"/>
      </w:pPr>
    </w:lvl>
    <w:lvl w:ilvl="6" w:tentative="0">
      <w:start w:val="1"/>
      <w:numFmt w:val="decimal"/>
      <w:lvlText w:val="%7."/>
      <w:lvlJc w:val="left"/>
      <w:pPr>
        <w:ind w:left="3542" w:hanging="420"/>
      </w:pPr>
    </w:lvl>
    <w:lvl w:ilvl="7" w:tentative="0">
      <w:start w:val="1"/>
      <w:numFmt w:val="lowerLetter"/>
      <w:lvlText w:val="%8)"/>
      <w:lvlJc w:val="left"/>
      <w:pPr>
        <w:ind w:left="3962" w:hanging="420"/>
      </w:pPr>
    </w:lvl>
    <w:lvl w:ilvl="8" w:tentative="0">
      <w:start w:val="1"/>
      <w:numFmt w:val="lowerRoman"/>
      <w:lvlText w:val="%9."/>
      <w:lvlJc w:val="right"/>
      <w:pPr>
        <w:ind w:left="4382" w:hanging="420"/>
      </w:pPr>
    </w:lvl>
  </w:abstractNum>
  <w:abstractNum w:abstractNumId="4">
    <w:nsid w:val="40654B27"/>
    <w:multiLevelType w:val="singleLevel"/>
    <w:tmpl w:val="40654B27"/>
    <w:lvl w:ilvl="0" w:tentative="0">
      <w:start w:val="2"/>
      <w:numFmt w:val="chineseCounting"/>
      <w:suff w:val="nothing"/>
      <w:lvlText w:val="（%1）"/>
      <w:lvlJc w:val="left"/>
      <w:rPr>
        <w:rFonts w:hint="eastAsia"/>
      </w:rPr>
    </w:lvl>
  </w:abstractNum>
  <w:abstractNum w:abstractNumId="5">
    <w:nsid w:val="64985757"/>
    <w:multiLevelType w:val="multilevel"/>
    <w:tmpl w:val="64985757"/>
    <w:lvl w:ilvl="0" w:tentative="0">
      <w:start w:val="1"/>
      <w:numFmt w:val="decimal"/>
      <w:pStyle w:val="26"/>
      <w:suff w:val="nothing"/>
      <w:lvlText w:val="%1."/>
      <w:lvlJc w:val="left"/>
      <w:pPr>
        <w:ind w:left="562" w:hanging="420"/>
      </w:pPr>
      <w:rPr>
        <w:rFonts w:hint="eastAsia"/>
      </w:rPr>
    </w:lvl>
    <w:lvl w:ilvl="1" w:tentative="0">
      <w:start w:val="1"/>
      <w:numFmt w:val="lowerLetter"/>
      <w:lvlText w:val="%2)"/>
      <w:lvlJc w:val="left"/>
      <w:pPr>
        <w:ind w:left="727" w:hanging="420"/>
      </w:pPr>
    </w:lvl>
    <w:lvl w:ilvl="2" w:tentative="0">
      <w:start w:val="1"/>
      <w:numFmt w:val="lowerRoman"/>
      <w:lvlText w:val="%3."/>
      <w:lvlJc w:val="right"/>
      <w:pPr>
        <w:ind w:left="1147" w:hanging="420"/>
      </w:pPr>
    </w:lvl>
    <w:lvl w:ilvl="3" w:tentative="0">
      <w:start w:val="1"/>
      <w:numFmt w:val="decimal"/>
      <w:lvlText w:val="%4."/>
      <w:lvlJc w:val="left"/>
      <w:pPr>
        <w:ind w:left="1567" w:hanging="420"/>
      </w:pPr>
    </w:lvl>
    <w:lvl w:ilvl="4" w:tentative="0">
      <w:start w:val="1"/>
      <w:numFmt w:val="lowerLetter"/>
      <w:lvlText w:val="%5)"/>
      <w:lvlJc w:val="left"/>
      <w:pPr>
        <w:ind w:left="1987" w:hanging="420"/>
      </w:pPr>
    </w:lvl>
    <w:lvl w:ilvl="5" w:tentative="0">
      <w:start w:val="1"/>
      <w:numFmt w:val="lowerRoman"/>
      <w:lvlText w:val="%6."/>
      <w:lvlJc w:val="right"/>
      <w:pPr>
        <w:ind w:left="2407" w:hanging="420"/>
      </w:pPr>
    </w:lvl>
    <w:lvl w:ilvl="6" w:tentative="0">
      <w:start w:val="1"/>
      <w:numFmt w:val="decimal"/>
      <w:lvlText w:val="%7."/>
      <w:lvlJc w:val="left"/>
      <w:pPr>
        <w:ind w:left="2827" w:hanging="420"/>
      </w:pPr>
    </w:lvl>
    <w:lvl w:ilvl="7" w:tentative="0">
      <w:start w:val="1"/>
      <w:numFmt w:val="lowerLetter"/>
      <w:lvlText w:val="%8)"/>
      <w:lvlJc w:val="left"/>
      <w:pPr>
        <w:ind w:left="3247" w:hanging="420"/>
      </w:pPr>
    </w:lvl>
    <w:lvl w:ilvl="8" w:tentative="0">
      <w:start w:val="1"/>
      <w:numFmt w:val="lowerRoman"/>
      <w:lvlText w:val="%9."/>
      <w:lvlJc w:val="right"/>
      <w:pPr>
        <w:ind w:left="3667" w:hanging="420"/>
      </w:p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VerticalSpacing w:val="156"/>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B17F50"/>
    <w:rsid w:val="003B5CC2"/>
    <w:rsid w:val="007642BB"/>
    <w:rsid w:val="00B17F50"/>
    <w:rsid w:val="00B6228A"/>
    <w:rsid w:val="00C86D7E"/>
    <w:rsid w:val="00F56E73"/>
    <w:rsid w:val="01155B7B"/>
    <w:rsid w:val="012F1333"/>
    <w:rsid w:val="014556B4"/>
    <w:rsid w:val="01800A20"/>
    <w:rsid w:val="01845D52"/>
    <w:rsid w:val="02622F33"/>
    <w:rsid w:val="036C1F23"/>
    <w:rsid w:val="03717772"/>
    <w:rsid w:val="03E17F60"/>
    <w:rsid w:val="03F26774"/>
    <w:rsid w:val="05187022"/>
    <w:rsid w:val="05207796"/>
    <w:rsid w:val="056A71F9"/>
    <w:rsid w:val="05721374"/>
    <w:rsid w:val="0586305A"/>
    <w:rsid w:val="05F40C21"/>
    <w:rsid w:val="061D4585"/>
    <w:rsid w:val="06372F1E"/>
    <w:rsid w:val="066230C7"/>
    <w:rsid w:val="06AA1EC4"/>
    <w:rsid w:val="06B157FE"/>
    <w:rsid w:val="075509C0"/>
    <w:rsid w:val="07600BA2"/>
    <w:rsid w:val="07DC265C"/>
    <w:rsid w:val="07EB2FB9"/>
    <w:rsid w:val="08001795"/>
    <w:rsid w:val="08671100"/>
    <w:rsid w:val="08791E0E"/>
    <w:rsid w:val="08991C64"/>
    <w:rsid w:val="08A312B5"/>
    <w:rsid w:val="095D4EEF"/>
    <w:rsid w:val="0963283E"/>
    <w:rsid w:val="09A471D5"/>
    <w:rsid w:val="0A4503EF"/>
    <w:rsid w:val="0A7456E4"/>
    <w:rsid w:val="0AA036C5"/>
    <w:rsid w:val="0AB259F4"/>
    <w:rsid w:val="0AC65611"/>
    <w:rsid w:val="0AD17C3F"/>
    <w:rsid w:val="0B2F3C0F"/>
    <w:rsid w:val="0BA53642"/>
    <w:rsid w:val="0CBB3BB5"/>
    <w:rsid w:val="0CD706E3"/>
    <w:rsid w:val="0CDA5BA1"/>
    <w:rsid w:val="0E0465AF"/>
    <w:rsid w:val="0E6A0BCE"/>
    <w:rsid w:val="0F240E05"/>
    <w:rsid w:val="0F6B2ECE"/>
    <w:rsid w:val="0F84609F"/>
    <w:rsid w:val="0F855F5B"/>
    <w:rsid w:val="0FD707E2"/>
    <w:rsid w:val="101B6839"/>
    <w:rsid w:val="10374BB2"/>
    <w:rsid w:val="10440147"/>
    <w:rsid w:val="10CD5EB3"/>
    <w:rsid w:val="10D74585"/>
    <w:rsid w:val="10E93763"/>
    <w:rsid w:val="110F75E3"/>
    <w:rsid w:val="112D3A76"/>
    <w:rsid w:val="11457119"/>
    <w:rsid w:val="116B39FF"/>
    <w:rsid w:val="119C767E"/>
    <w:rsid w:val="11EE6B79"/>
    <w:rsid w:val="11FC5BA3"/>
    <w:rsid w:val="123E5E68"/>
    <w:rsid w:val="1253276C"/>
    <w:rsid w:val="12742C39"/>
    <w:rsid w:val="12A13CC9"/>
    <w:rsid w:val="12B709C2"/>
    <w:rsid w:val="12B845B0"/>
    <w:rsid w:val="12CB0D8C"/>
    <w:rsid w:val="12D176B9"/>
    <w:rsid w:val="130577BD"/>
    <w:rsid w:val="137A1E8F"/>
    <w:rsid w:val="137D6954"/>
    <w:rsid w:val="142358AE"/>
    <w:rsid w:val="14320C18"/>
    <w:rsid w:val="14761DBC"/>
    <w:rsid w:val="14F63CD0"/>
    <w:rsid w:val="152E6CAA"/>
    <w:rsid w:val="15783A65"/>
    <w:rsid w:val="158C1DAF"/>
    <w:rsid w:val="15C75929"/>
    <w:rsid w:val="15F66FC2"/>
    <w:rsid w:val="162A289E"/>
    <w:rsid w:val="16380691"/>
    <w:rsid w:val="163F2995"/>
    <w:rsid w:val="16E26289"/>
    <w:rsid w:val="171A1AE5"/>
    <w:rsid w:val="17A12EDB"/>
    <w:rsid w:val="18B26A13"/>
    <w:rsid w:val="18F24181"/>
    <w:rsid w:val="192C4E70"/>
    <w:rsid w:val="19680052"/>
    <w:rsid w:val="19784305"/>
    <w:rsid w:val="19BD6E74"/>
    <w:rsid w:val="19C348AE"/>
    <w:rsid w:val="19D4779C"/>
    <w:rsid w:val="19E56A94"/>
    <w:rsid w:val="19E94314"/>
    <w:rsid w:val="1A212BF9"/>
    <w:rsid w:val="1A4769E6"/>
    <w:rsid w:val="1A711990"/>
    <w:rsid w:val="1A813507"/>
    <w:rsid w:val="1AF36FCF"/>
    <w:rsid w:val="1B0734DB"/>
    <w:rsid w:val="1B3259ED"/>
    <w:rsid w:val="1B462F95"/>
    <w:rsid w:val="1BD54974"/>
    <w:rsid w:val="1C295122"/>
    <w:rsid w:val="1C7737E5"/>
    <w:rsid w:val="1CF55E26"/>
    <w:rsid w:val="1D4E10F0"/>
    <w:rsid w:val="1DB8411A"/>
    <w:rsid w:val="1DBF6505"/>
    <w:rsid w:val="1E2B0605"/>
    <w:rsid w:val="1E3938C7"/>
    <w:rsid w:val="1E5C1E2C"/>
    <w:rsid w:val="1EC038F8"/>
    <w:rsid w:val="1F8A5B71"/>
    <w:rsid w:val="1F8A76D2"/>
    <w:rsid w:val="1FFF165A"/>
    <w:rsid w:val="200F7210"/>
    <w:rsid w:val="20601F01"/>
    <w:rsid w:val="207136EE"/>
    <w:rsid w:val="20DB5407"/>
    <w:rsid w:val="21502358"/>
    <w:rsid w:val="2194007D"/>
    <w:rsid w:val="21CB493E"/>
    <w:rsid w:val="21D55161"/>
    <w:rsid w:val="21F67343"/>
    <w:rsid w:val="21FE5FCD"/>
    <w:rsid w:val="22080B52"/>
    <w:rsid w:val="22496ECB"/>
    <w:rsid w:val="22756559"/>
    <w:rsid w:val="22B2769C"/>
    <w:rsid w:val="22BC33B2"/>
    <w:rsid w:val="22FA172F"/>
    <w:rsid w:val="232E7A43"/>
    <w:rsid w:val="239130F7"/>
    <w:rsid w:val="23A11478"/>
    <w:rsid w:val="23AA5C38"/>
    <w:rsid w:val="23B52BC9"/>
    <w:rsid w:val="23B61727"/>
    <w:rsid w:val="24972BD6"/>
    <w:rsid w:val="24B8427B"/>
    <w:rsid w:val="253E3D37"/>
    <w:rsid w:val="25651FCA"/>
    <w:rsid w:val="259E5689"/>
    <w:rsid w:val="25FD10EB"/>
    <w:rsid w:val="260104CA"/>
    <w:rsid w:val="262C40F8"/>
    <w:rsid w:val="26393C4F"/>
    <w:rsid w:val="26BE6D9D"/>
    <w:rsid w:val="26D314FF"/>
    <w:rsid w:val="278E3AAF"/>
    <w:rsid w:val="27E36DBD"/>
    <w:rsid w:val="28017BB6"/>
    <w:rsid w:val="283D3E7C"/>
    <w:rsid w:val="285D29CB"/>
    <w:rsid w:val="28860B64"/>
    <w:rsid w:val="28D10AA1"/>
    <w:rsid w:val="28FA2A25"/>
    <w:rsid w:val="290B6346"/>
    <w:rsid w:val="291B104E"/>
    <w:rsid w:val="292E27B6"/>
    <w:rsid w:val="29813048"/>
    <w:rsid w:val="29B87BAB"/>
    <w:rsid w:val="2A0E3AC9"/>
    <w:rsid w:val="2A0F3A10"/>
    <w:rsid w:val="2A1D630E"/>
    <w:rsid w:val="2A4A04FC"/>
    <w:rsid w:val="2A4C2F0A"/>
    <w:rsid w:val="2A4E0A2C"/>
    <w:rsid w:val="2A790C85"/>
    <w:rsid w:val="2AEA4EDD"/>
    <w:rsid w:val="2AFA5128"/>
    <w:rsid w:val="2B203939"/>
    <w:rsid w:val="2B285C7F"/>
    <w:rsid w:val="2B3443BD"/>
    <w:rsid w:val="2B5F073E"/>
    <w:rsid w:val="2BF026A9"/>
    <w:rsid w:val="2CC31E13"/>
    <w:rsid w:val="2D5F4F92"/>
    <w:rsid w:val="2E1027EF"/>
    <w:rsid w:val="2ECF02CE"/>
    <w:rsid w:val="2EEA0800"/>
    <w:rsid w:val="2F063127"/>
    <w:rsid w:val="2F290940"/>
    <w:rsid w:val="2F580708"/>
    <w:rsid w:val="2F795503"/>
    <w:rsid w:val="2FE9410B"/>
    <w:rsid w:val="301550DE"/>
    <w:rsid w:val="304B7BEE"/>
    <w:rsid w:val="310434E7"/>
    <w:rsid w:val="310F6FE7"/>
    <w:rsid w:val="31C02B04"/>
    <w:rsid w:val="31D57693"/>
    <w:rsid w:val="322865E2"/>
    <w:rsid w:val="325B260F"/>
    <w:rsid w:val="32A14F33"/>
    <w:rsid w:val="32DF201F"/>
    <w:rsid w:val="32EF6304"/>
    <w:rsid w:val="33035085"/>
    <w:rsid w:val="33072B8C"/>
    <w:rsid w:val="3328211D"/>
    <w:rsid w:val="334D761B"/>
    <w:rsid w:val="33ED54F3"/>
    <w:rsid w:val="341E2098"/>
    <w:rsid w:val="3437529F"/>
    <w:rsid w:val="348F4D98"/>
    <w:rsid w:val="34C546A7"/>
    <w:rsid w:val="352E704D"/>
    <w:rsid w:val="35442C61"/>
    <w:rsid w:val="35644564"/>
    <w:rsid w:val="36542A7F"/>
    <w:rsid w:val="366F0A26"/>
    <w:rsid w:val="36956A07"/>
    <w:rsid w:val="36BA1852"/>
    <w:rsid w:val="36BE44BA"/>
    <w:rsid w:val="37115D30"/>
    <w:rsid w:val="381B4370"/>
    <w:rsid w:val="38584225"/>
    <w:rsid w:val="38734F8A"/>
    <w:rsid w:val="38895F66"/>
    <w:rsid w:val="38A700E0"/>
    <w:rsid w:val="38D11092"/>
    <w:rsid w:val="38F7318C"/>
    <w:rsid w:val="39100274"/>
    <w:rsid w:val="391B6A5C"/>
    <w:rsid w:val="397A3575"/>
    <w:rsid w:val="398C78D2"/>
    <w:rsid w:val="3A0E0E09"/>
    <w:rsid w:val="3A8837D2"/>
    <w:rsid w:val="3ABE3C32"/>
    <w:rsid w:val="3AC214EC"/>
    <w:rsid w:val="3B2B70AE"/>
    <w:rsid w:val="3C022AE1"/>
    <w:rsid w:val="3C6C1A8C"/>
    <w:rsid w:val="3CA866A5"/>
    <w:rsid w:val="3CCC347E"/>
    <w:rsid w:val="3CD83B14"/>
    <w:rsid w:val="3CF60141"/>
    <w:rsid w:val="3D0363DC"/>
    <w:rsid w:val="3D10537E"/>
    <w:rsid w:val="3D1F3641"/>
    <w:rsid w:val="3D4F6131"/>
    <w:rsid w:val="3D6C3FF0"/>
    <w:rsid w:val="3DA877F5"/>
    <w:rsid w:val="3DBC0E01"/>
    <w:rsid w:val="3DD82B56"/>
    <w:rsid w:val="3DE32684"/>
    <w:rsid w:val="3E095EA0"/>
    <w:rsid w:val="3E1F2AD7"/>
    <w:rsid w:val="3E5C3B9C"/>
    <w:rsid w:val="3F2F0B56"/>
    <w:rsid w:val="3F6A0D47"/>
    <w:rsid w:val="40996F6D"/>
    <w:rsid w:val="40B85B55"/>
    <w:rsid w:val="40EA0D87"/>
    <w:rsid w:val="41104810"/>
    <w:rsid w:val="42130B3D"/>
    <w:rsid w:val="42693F50"/>
    <w:rsid w:val="4273517D"/>
    <w:rsid w:val="42785DC7"/>
    <w:rsid w:val="42A517D2"/>
    <w:rsid w:val="4346248E"/>
    <w:rsid w:val="43524857"/>
    <w:rsid w:val="43C2718D"/>
    <w:rsid w:val="43D14415"/>
    <w:rsid w:val="43DC7331"/>
    <w:rsid w:val="43EF27A9"/>
    <w:rsid w:val="44542715"/>
    <w:rsid w:val="447474C2"/>
    <w:rsid w:val="449E2869"/>
    <w:rsid w:val="455A0668"/>
    <w:rsid w:val="455D30AF"/>
    <w:rsid w:val="45747DFF"/>
    <w:rsid w:val="45794AA6"/>
    <w:rsid w:val="45C46B32"/>
    <w:rsid w:val="45DF63BA"/>
    <w:rsid w:val="45EF021E"/>
    <w:rsid w:val="462A4BDB"/>
    <w:rsid w:val="465C68CA"/>
    <w:rsid w:val="46B46B8F"/>
    <w:rsid w:val="4709718B"/>
    <w:rsid w:val="471570F3"/>
    <w:rsid w:val="4720611C"/>
    <w:rsid w:val="47361605"/>
    <w:rsid w:val="47532AE1"/>
    <w:rsid w:val="47FE6999"/>
    <w:rsid w:val="481573FF"/>
    <w:rsid w:val="487E2B2A"/>
    <w:rsid w:val="48832ED3"/>
    <w:rsid w:val="4A1A26B5"/>
    <w:rsid w:val="4A7A6D23"/>
    <w:rsid w:val="4AA65304"/>
    <w:rsid w:val="4B320FF5"/>
    <w:rsid w:val="4BEA5000"/>
    <w:rsid w:val="4BEC1145"/>
    <w:rsid w:val="4C180916"/>
    <w:rsid w:val="4C3B5514"/>
    <w:rsid w:val="4D1427FD"/>
    <w:rsid w:val="4D7B54C5"/>
    <w:rsid w:val="4D84244C"/>
    <w:rsid w:val="4D980AFF"/>
    <w:rsid w:val="4DA0022D"/>
    <w:rsid w:val="4DA4547F"/>
    <w:rsid w:val="4DC02B82"/>
    <w:rsid w:val="4DD4081A"/>
    <w:rsid w:val="4DE4656B"/>
    <w:rsid w:val="4EBB6191"/>
    <w:rsid w:val="4F113215"/>
    <w:rsid w:val="4F937DA6"/>
    <w:rsid w:val="500304BC"/>
    <w:rsid w:val="508675BE"/>
    <w:rsid w:val="508F7635"/>
    <w:rsid w:val="50E12417"/>
    <w:rsid w:val="50E85AC8"/>
    <w:rsid w:val="50FA30F0"/>
    <w:rsid w:val="510F732F"/>
    <w:rsid w:val="51591411"/>
    <w:rsid w:val="51853F38"/>
    <w:rsid w:val="51BB71C8"/>
    <w:rsid w:val="51D81AA6"/>
    <w:rsid w:val="521727B7"/>
    <w:rsid w:val="52980AE4"/>
    <w:rsid w:val="52F829EF"/>
    <w:rsid w:val="532114A3"/>
    <w:rsid w:val="533B4FA7"/>
    <w:rsid w:val="53DB37CC"/>
    <w:rsid w:val="54035B48"/>
    <w:rsid w:val="5440075E"/>
    <w:rsid w:val="54E874E9"/>
    <w:rsid w:val="55361F28"/>
    <w:rsid w:val="555D495B"/>
    <w:rsid w:val="556318C5"/>
    <w:rsid w:val="557073AD"/>
    <w:rsid w:val="55740EA4"/>
    <w:rsid w:val="558A5758"/>
    <w:rsid w:val="55E83EB7"/>
    <w:rsid w:val="57081219"/>
    <w:rsid w:val="57166B29"/>
    <w:rsid w:val="572C3B7E"/>
    <w:rsid w:val="578731A2"/>
    <w:rsid w:val="57E84201"/>
    <w:rsid w:val="582D3DFF"/>
    <w:rsid w:val="58801B31"/>
    <w:rsid w:val="594B7ED8"/>
    <w:rsid w:val="59742CE5"/>
    <w:rsid w:val="5A0222E2"/>
    <w:rsid w:val="5A6E7252"/>
    <w:rsid w:val="5A922EB2"/>
    <w:rsid w:val="5ABF7766"/>
    <w:rsid w:val="5B38712A"/>
    <w:rsid w:val="5B7C379C"/>
    <w:rsid w:val="5B8757B8"/>
    <w:rsid w:val="5BD37803"/>
    <w:rsid w:val="5CAD24E4"/>
    <w:rsid w:val="5CB45AE0"/>
    <w:rsid w:val="5D163A1C"/>
    <w:rsid w:val="5D3B7B67"/>
    <w:rsid w:val="5E236DB2"/>
    <w:rsid w:val="5E385D1B"/>
    <w:rsid w:val="5E405BF7"/>
    <w:rsid w:val="5E92112E"/>
    <w:rsid w:val="5EC6420C"/>
    <w:rsid w:val="5F5E352B"/>
    <w:rsid w:val="5F65568E"/>
    <w:rsid w:val="5F8F2439"/>
    <w:rsid w:val="617019BB"/>
    <w:rsid w:val="61B705B3"/>
    <w:rsid w:val="61C2741E"/>
    <w:rsid w:val="620F2EB7"/>
    <w:rsid w:val="62751DA2"/>
    <w:rsid w:val="62D30735"/>
    <w:rsid w:val="63385DB7"/>
    <w:rsid w:val="63457EE7"/>
    <w:rsid w:val="635E0D38"/>
    <w:rsid w:val="636B4FB9"/>
    <w:rsid w:val="63CD0DF1"/>
    <w:rsid w:val="64040930"/>
    <w:rsid w:val="641C5581"/>
    <w:rsid w:val="6437315F"/>
    <w:rsid w:val="64576A5E"/>
    <w:rsid w:val="649A3907"/>
    <w:rsid w:val="64D00554"/>
    <w:rsid w:val="64DF7A7F"/>
    <w:rsid w:val="65073BB3"/>
    <w:rsid w:val="6578683F"/>
    <w:rsid w:val="65D630F6"/>
    <w:rsid w:val="66315929"/>
    <w:rsid w:val="665635DD"/>
    <w:rsid w:val="667A6106"/>
    <w:rsid w:val="66AD66C8"/>
    <w:rsid w:val="672253E7"/>
    <w:rsid w:val="67531364"/>
    <w:rsid w:val="67B67C41"/>
    <w:rsid w:val="68E856C4"/>
    <w:rsid w:val="68FA2D38"/>
    <w:rsid w:val="69326D3A"/>
    <w:rsid w:val="69641661"/>
    <w:rsid w:val="697D3AF3"/>
    <w:rsid w:val="69AD3DF8"/>
    <w:rsid w:val="69DD28A8"/>
    <w:rsid w:val="69F33600"/>
    <w:rsid w:val="69F70455"/>
    <w:rsid w:val="6A3B3959"/>
    <w:rsid w:val="6A4C468B"/>
    <w:rsid w:val="6A8B4A94"/>
    <w:rsid w:val="6AE961E8"/>
    <w:rsid w:val="6B271E17"/>
    <w:rsid w:val="6B394B2A"/>
    <w:rsid w:val="6B3B1D48"/>
    <w:rsid w:val="6B7B29E6"/>
    <w:rsid w:val="6BA414DF"/>
    <w:rsid w:val="6BA719DB"/>
    <w:rsid w:val="6BBF68D6"/>
    <w:rsid w:val="6C0F7DAB"/>
    <w:rsid w:val="6C13384D"/>
    <w:rsid w:val="6CA672F1"/>
    <w:rsid w:val="6D480486"/>
    <w:rsid w:val="6D5076F3"/>
    <w:rsid w:val="6D797784"/>
    <w:rsid w:val="6D8840FF"/>
    <w:rsid w:val="6DA61685"/>
    <w:rsid w:val="6DAF1393"/>
    <w:rsid w:val="6E180934"/>
    <w:rsid w:val="6E7953DF"/>
    <w:rsid w:val="6EB85E0B"/>
    <w:rsid w:val="6F15767F"/>
    <w:rsid w:val="6F4568D0"/>
    <w:rsid w:val="6F561A1E"/>
    <w:rsid w:val="6F6C45F8"/>
    <w:rsid w:val="6FAF4FEC"/>
    <w:rsid w:val="6FCD6CF7"/>
    <w:rsid w:val="6FDA3C7F"/>
    <w:rsid w:val="6FE11D12"/>
    <w:rsid w:val="700F17AE"/>
    <w:rsid w:val="704C5421"/>
    <w:rsid w:val="705217BF"/>
    <w:rsid w:val="709A03BA"/>
    <w:rsid w:val="70BE396F"/>
    <w:rsid w:val="70F77891"/>
    <w:rsid w:val="710820D2"/>
    <w:rsid w:val="719B1865"/>
    <w:rsid w:val="71A6392A"/>
    <w:rsid w:val="71AC3B9C"/>
    <w:rsid w:val="71CB4A8C"/>
    <w:rsid w:val="71D80A65"/>
    <w:rsid w:val="73266A04"/>
    <w:rsid w:val="73993E52"/>
    <w:rsid w:val="73FE7451"/>
    <w:rsid w:val="73FF71B4"/>
    <w:rsid w:val="74171C83"/>
    <w:rsid w:val="74252EE9"/>
    <w:rsid w:val="744B6372"/>
    <w:rsid w:val="753E14CB"/>
    <w:rsid w:val="75734CC9"/>
    <w:rsid w:val="75925B75"/>
    <w:rsid w:val="75AE118A"/>
    <w:rsid w:val="75C00C99"/>
    <w:rsid w:val="75C11F74"/>
    <w:rsid w:val="763C7FC1"/>
    <w:rsid w:val="76FC3167"/>
    <w:rsid w:val="77352335"/>
    <w:rsid w:val="77627161"/>
    <w:rsid w:val="778F56B5"/>
    <w:rsid w:val="77A4194D"/>
    <w:rsid w:val="77A75C43"/>
    <w:rsid w:val="77B84D78"/>
    <w:rsid w:val="77B9306F"/>
    <w:rsid w:val="77F87BDA"/>
    <w:rsid w:val="77FF1E7B"/>
    <w:rsid w:val="78257CE8"/>
    <w:rsid w:val="786F313B"/>
    <w:rsid w:val="789877E3"/>
    <w:rsid w:val="78B6378B"/>
    <w:rsid w:val="78BA5E02"/>
    <w:rsid w:val="78D15444"/>
    <w:rsid w:val="79982671"/>
    <w:rsid w:val="79F92F76"/>
    <w:rsid w:val="7A0F3D20"/>
    <w:rsid w:val="7A436675"/>
    <w:rsid w:val="7B69379C"/>
    <w:rsid w:val="7B6B3467"/>
    <w:rsid w:val="7BA11631"/>
    <w:rsid w:val="7BCF1BE9"/>
    <w:rsid w:val="7C3808D4"/>
    <w:rsid w:val="7C5015DB"/>
    <w:rsid w:val="7C511150"/>
    <w:rsid w:val="7CDE1292"/>
    <w:rsid w:val="7CF51A35"/>
    <w:rsid w:val="7D15058F"/>
    <w:rsid w:val="7D1E1A76"/>
    <w:rsid w:val="7D3A10C7"/>
    <w:rsid w:val="7DA958E4"/>
    <w:rsid w:val="7DEE5DB8"/>
    <w:rsid w:val="7E0041A1"/>
    <w:rsid w:val="7E1F1AF1"/>
    <w:rsid w:val="7E2A2CD4"/>
    <w:rsid w:val="7E593269"/>
    <w:rsid w:val="7E5A4B9B"/>
    <w:rsid w:val="7EB846CA"/>
    <w:rsid w:val="7F707646"/>
    <w:rsid w:val="7F7E6E31"/>
    <w:rsid w:val="7FB93453"/>
    <w:rsid w:val="7FBA67A6"/>
    <w:rsid w:val="7FD03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80" w:lineRule="exact"/>
      <w:ind w:firstLine="200" w:firstLineChars="200"/>
      <w:jc w:val="both"/>
    </w:pPr>
    <w:rPr>
      <w:rFonts w:ascii="Times New Roman" w:hAnsi="Times New Roman" w:eastAsia="仿宋_GB2312" w:cs="黑体"/>
      <w:kern w:val="2"/>
      <w:sz w:val="28"/>
      <w:szCs w:val="22"/>
      <w:lang w:val="en-US" w:eastAsia="zh-CN" w:bidi="ar-SA"/>
    </w:rPr>
  </w:style>
  <w:style w:type="paragraph" w:styleId="3">
    <w:name w:val="heading 1"/>
    <w:basedOn w:val="1"/>
    <w:next w:val="1"/>
    <w:link w:val="32"/>
    <w:qFormat/>
    <w:uiPriority w:val="0"/>
    <w:pPr>
      <w:keepNext/>
      <w:keepLines/>
      <w:pageBreakBefore/>
      <w:spacing w:before="260" w:after="260" w:line="576" w:lineRule="auto"/>
      <w:ind w:firstLine="880"/>
      <w:outlineLvl w:val="0"/>
    </w:pPr>
    <w:rPr>
      <w:rFonts w:cs="Times New Roman"/>
      <w:b/>
      <w:kern w:val="44"/>
      <w:sz w:val="32"/>
      <w:szCs w:val="28"/>
    </w:rPr>
  </w:style>
  <w:style w:type="paragraph" w:styleId="4">
    <w:name w:val="heading 2"/>
    <w:basedOn w:val="1"/>
    <w:next w:val="1"/>
    <w:link w:val="31"/>
    <w:unhideWhenUsed/>
    <w:qFormat/>
    <w:uiPriority w:val="9"/>
    <w:pPr>
      <w:keepNext/>
      <w:keepLines/>
      <w:spacing w:line="580" w:lineRule="atLeast"/>
      <w:outlineLvl w:val="1"/>
    </w:pPr>
    <w:rPr>
      <w:b/>
      <w:bCs/>
      <w:sz w:val="30"/>
      <w:szCs w:val="32"/>
    </w:rPr>
  </w:style>
  <w:style w:type="paragraph" w:styleId="5">
    <w:name w:val="heading 3"/>
    <w:basedOn w:val="1"/>
    <w:next w:val="1"/>
    <w:unhideWhenUsed/>
    <w:qFormat/>
    <w:uiPriority w:val="9"/>
    <w:pPr>
      <w:keepNext/>
      <w:keepLines/>
      <w:outlineLvl w:val="2"/>
    </w:pPr>
    <w:rPr>
      <w:b/>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33"/>
    <w:semiHidden/>
    <w:unhideWhenUsed/>
    <w:qFormat/>
    <w:uiPriority w:val="99"/>
    <w:pPr>
      <w:spacing w:line="240" w:lineRule="auto"/>
    </w:pPr>
    <w:rPr>
      <w:sz w:val="18"/>
      <w:szCs w:val="18"/>
    </w:rPr>
  </w:style>
  <w:style w:type="paragraph" w:styleId="6">
    <w:name w:val="annotation text"/>
    <w:basedOn w:val="1"/>
    <w:qFormat/>
    <w:uiPriority w:val="0"/>
    <w:pPr>
      <w:jc w:val="left"/>
    </w:pPr>
  </w:style>
  <w:style w:type="paragraph" w:styleId="7">
    <w:name w:val="toc 3"/>
    <w:basedOn w:val="1"/>
    <w:next w:val="1"/>
    <w:unhideWhenUsed/>
    <w:qFormat/>
    <w:uiPriority w:val="39"/>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basedOn w:val="1"/>
    <w:next w:val="1"/>
    <w:unhideWhenUsed/>
    <w:qFormat/>
    <w:uiPriority w:val="39"/>
  </w:style>
  <w:style w:type="paragraph" w:styleId="11">
    <w:name w:val="Subtitle"/>
    <w:basedOn w:val="1"/>
    <w:next w:val="1"/>
    <w:qFormat/>
    <w:uiPriority w:val="0"/>
    <w:pPr>
      <w:spacing w:line="360" w:lineRule="auto"/>
      <w:outlineLvl w:val="1"/>
    </w:pPr>
    <w:rPr>
      <w:rFonts w:ascii="Cambria" w:hAnsi="Cambria" w:eastAsia="宋体" w:cs="Times New Roman"/>
      <w:b/>
      <w:bCs/>
      <w:kern w:val="28"/>
      <w:szCs w:val="28"/>
    </w:rPr>
  </w:style>
  <w:style w:type="paragraph" w:styleId="12">
    <w:name w:val="toc 2"/>
    <w:basedOn w:val="1"/>
    <w:next w:val="1"/>
    <w:unhideWhenUsed/>
    <w:qFormat/>
    <w:uiPriority w:val="39"/>
    <w:pPr>
      <w:ind w:left="420" w:leftChars="200"/>
    </w:pPr>
  </w:style>
  <w:style w:type="paragraph" w:styleId="13">
    <w:name w:val="Normal (Web)"/>
    <w:basedOn w:val="1"/>
    <w:semiHidden/>
    <w:unhideWhenUsed/>
    <w:qFormat/>
    <w:uiPriority w:val="99"/>
    <w:pPr>
      <w:spacing w:beforeAutospacing="1" w:afterAutospacing="1"/>
      <w:jc w:val="left"/>
    </w:pPr>
    <w:rPr>
      <w:rFonts w:cs="Times New Roman"/>
      <w:kern w:val="0"/>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FollowedHyperlink"/>
    <w:basedOn w:val="16"/>
    <w:semiHidden/>
    <w:unhideWhenUsed/>
    <w:qFormat/>
    <w:uiPriority w:val="99"/>
    <w:rPr>
      <w:color w:val="333333"/>
      <w:u w:val="none"/>
    </w:rPr>
  </w:style>
  <w:style w:type="character" w:styleId="18">
    <w:name w:val="Emphasis"/>
    <w:basedOn w:val="16"/>
    <w:qFormat/>
    <w:uiPriority w:val="20"/>
  </w:style>
  <w:style w:type="character" w:styleId="19">
    <w:name w:val="Hyperlink"/>
    <w:basedOn w:val="16"/>
    <w:unhideWhenUsed/>
    <w:qFormat/>
    <w:uiPriority w:val="99"/>
    <w:rPr>
      <w:color w:val="0000FF"/>
      <w:u w:val="single"/>
    </w:rPr>
  </w:style>
  <w:style w:type="character" w:styleId="20">
    <w:name w:val="annotation reference"/>
    <w:basedOn w:val="16"/>
    <w:semiHidden/>
    <w:unhideWhenUsed/>
    <w:qFormat/>
    <w:uiPriority w:val="99"/>
    <w:rPr>
      <w:sz w:val="21"/>
      <w:szCs w:val="21"/>
    </w:rPr>
  </w:style>
  <w:style w:type="paragraph" w:customStyle="1" w:styleId="21">
    <w:name w:val="三调标题2"/>
    <w:qFormat/>
    <w:uiPriority w:val="0"/>
    <w:pPr>
      <w:numPr>
        <w:ilvl w:val="0"/>
        <w:numId w:val="1"/>
      </w:numPr>
      <w:spacing w:line="500" w:lineRule="exact"/>
      <w:outlineLvl w:val="1"/>
    </w:pPr>
    <w:rPr>
      <w:rFonts w:ascii="宋体" w:hAnsi="宋体" w:eastAsia="宋体" w:cs="仿宋_GB2312"/>
      <w:b/>
      <w:color w:val="000000"/>
      <w:kern w:val="2"/>
      <w:sz w:val="30"/>
      <w:szCs w:val="30"/>
      <w:lang w:val="en-US" w:eastAsia="zh-CN" w:bidi="ar-SA"/>
    </w:rPr>
  </w:style>
  <w:style w:type="paragraph" w:customStyle="1" w:styleId="22">
    <w:name w:val="列出段落1"/>
    <w:basedOn w:val="1"/>
    <w:qFormat/>
    <w:uiPriority w:val="34"/>
    <w:pPr>
      <w:ind w:firstLine="420"/>
    </w:pPr>
  </w:style>
  <w:style w:type="paragraph" w:customStyle="1" w:styleId="23">
    <w:name w:val="三调正文"/>
    <w:link w:val="39"/>
    <w:qFormat/>
    <w:uiPriority w:val="0"/>
    <w:pPr>
      <w:spacing w:line="500" w:lineRule="exact"/>
      <w:ind w:firstLine="200" w:firstLineChars="200"/>
    </w:pPr>
    <w:rPr>
      <w:rFonts w:ascii="宋体" w:hAnsi="宋体" w:eastAsia="仿宋_GB2312" w:cs="仿宋_GB2312"/>
      <w:sz w:val="28"/>
      <w:szCs w:val="28"/>
      <w:lang w:val="en-US" w:eastAsia="zh-CN" w:bidi="ar-SA"/>
    </w:rPr>
  </w:style>
  <w:style w:type="paragraph" w:customStyle="1" w:styleId="24">
    <w:name w:val="WPSOffice手动目录 1"/>
    <w:qFormat/>
    <w:uiPriority w:val="0"/>
    <w:rPr>
      <w:rFonts w:ascii="Times New Roman" w:hAnsi="Times New Roman" w:eastAsia="宋体" w:cs="Times New Roman"/>
      <w:lang w:val="en-US" w:eastAsia="zh-CN" w:bidi="ar-SA"/>
    </w:rPr>
  </w:style>
  <w:style w:type="paragraph" w:customStyle="1" w:styleId="2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6">
    <w:name w:val="三调标题3"/>
    <w:link w:val="38"/>
    <w:qFormat/>
    <w:uiPriority w:val="0"/>
    <w:pPr>
      <w:numPr>
        <w:ilvl w:val="0"/>
        <w:numId w:val="2"/>
      </w:numPr>
      <w:spacing w:line="500" w:lineRule="exact"/>
      <w:outlineLvl w:val="2"/>
    </w:pPr>
    <w:rPr>
      <w:rFonts w:ascii="宋体" w:hAnsi="宋体" w:eastAsia="宋体" w:cs="仿宋_GB2312"/>
      <w:b/>
      <w:kern w:val="2"/>
      <w:sz w:val="28"/>
      <w:szCs w:val="28"/>
      <w:lang w:val="en-US" w:eastAsia="zh-CN" w:bidi="ar-SA"/>
    </w:rPr>
  </w:style>
  <w:style w:type="paragraph" w:customStyle="1" w:styleId="27">
    <w:name w:val="TOC 标题1"/>
    <w:basedOn w:val="3"/>
    <w:next w:val="1"/>
    <w:semiHidden/>
    <w:unhideWhenUsed/>
    <w:qFormat/>
    <w:uiPriority w:val="39"/>
    <w:pPr>
      <w:widowControl/>
      <w:spacing w:before="480" w:after="0" w:line="276" w:lineRule="auto"/>
      <w:ind w:firstLine="0" w:firstLineChars="0"/>
      <w:jc w:val="left"/>
      <w:outlineLvl w:val="9"/>
    </w:pPr>
    <w:rPr>
      <w:rFonts w:ascii="Cambria" w:hAnsi="Cambria" w:eastAsia="宋体" w:cs="黑体"/>
      <w:bCs/>
      <w:color w:val="365F90"/>
      <w:kern w:val="0"/>
      <w:sz w:val="28"/>
    </w:rPr>
  </w:style>
  <w:style w:type="paragraph" w:customStyle="1" w:styleId="28">
    <w:name w:val="zx正文"/>
    <w:basedOn w:val="1"/>
    <w:qFormat/>
    <w:uiPriority w:val="0"/>
    <w:pPr>
      <w:spacing w:line="360" w:lineRule="auto"/>
      <w:ind w:right="-74" w:firstLine="560"/>
      <w:jc w:val="left"/>
    </w:pPr>
    <w:rPr>
      <w:rFonts w:ascii="宋体" w:hAnsi="宋体" w:eastAsia="宋体" w:cs="Tahoma"/>
      <w:szCs w:val="28"/>
    </w:rPr>
  </w:style>
  <w:style w:type="paragraph" w:customStyle="1" w:styleId="29">
    <w:name w:val="修订1"/>
    <w:hidden/>
    <w:unhideWhenUsed/>
    <w:qFormat/>
    <w:uiPriority w:val="99"/>
    <w:rPr>
      <w:rFonts w:ascii="Times New Roman" w:hAnsi="Times New Roman" w:eastAsia="仿宋_GB2312" w:cs="黑体"/>
      <w:kern w:val="2"/>
      <w:sz w:val="28"/>
      <w:szCs w:val="22"/>
      <w:lang w:val="en-US" w:eastAsia="zh-CN" w:bidi="ar-SA"/>
    </w:rPr>
  </w:style>
  <w:style w:type="paragraph" w:customStyle="1" w:styleId="30">
    <w:name w:val="正文-第几条"/>
    <w:basedOn w:val="1"/>
    <w:qFormat/>
    <w:uiPriority w:val="0"/>
    <w:pPr>
      <w:numPr>
        <w:ilvl w:val="0"/>
        <w:numId w:val="3"/>
      </w:numPr>
      <w:tabs>
        <w:tab w:val="left" w:pos="2156"/>
      </w:tabs>
      <w:spacing w:line="240" w:lineRule="auto"/>
      <w:ind w:firstLine="0" w:firstLineChars="0"/>
    </w:pPr>
    <w:rPr>
      <w:rFonts w:eastAsia="宋体" w:cs="Times New Roman"/>
      <w:sz w:val="21"/>
      <w:szCs w:val="20"/>
    </w:rPr>
  </w:style>
  <w:style w:type="character" w:customStyle="1" w:styleId="31">
    <w:name w:val="标题 2 Char"/>
    <w:basedOn w:val="16"/>
    <w:link w:val="4"/>
    <w:qFormat/>
    <w:uiPriority w:val="9"/>
    <w:rPr>
      <w:rFonts w:eastAsia="仿宋_GB2312" w:cs="黑体"/>
      <w:b/>
      <w:bCs/>
      <w:kern w:val="2"/>
      <w:sz w:val="30"/>
      <w:szCs w:val="32"/>
    </w:rPr>
  </w:style>
  <w:style w:type="character" w:customStyle="1" w:styleId="32">
    <w:name w:val="标题 1 Char"/>
    <w:basedOn w:val="16"/>
    <w:link w:val="3"/>
    <w:qFormat/>
    <w:uiPriority w:val="0"/>
    <w:rPr>
      <w:rFonts w:eastAsia="仿宋_GB2312"/>
      <w:b/>
      <w:kern w:val="44"/>
      <w:sz w:val="32"/>
      <w:szCs w:val="28"/>
    </w:rPr>
  </w:style>
  <w:style w:type="character" w:customStyle="1" w:styleId="33">
    <w:name w:val="批注框文本 Char"/>
    <w:basedOn w:val="16"/>
    <w:link w:val="2"/>
    <w:semiHidden/>
    <w:qFormat/>
    <w:uiPriority w:val="99"/>
    <w:rPr>
      <w:rFonts w:eastAsia="仿宋_GB2312" w:cs="黑体"/>
      <w:kern w:val="2"/>
      <w:sz w:val="18"/>
      <w:szCs w:val="18"/>
    </w:rPr>
  </w:style>
  <w:style w:type="character" w:customStyle="1" w:styleId="34">
    <w:name w:val="font11"/>
    <w:basedOn w:val="16"/>
    <w:qFormat/>
    <w:uiPriority w:val="0"/>
    <w:rPr>
      <w:rFonts w:hint="eastAsia" w:ascii="仿宋_GB2312" w:eastAsia="仿宋_GB2312" w:cs="仿宋_GB2312"/>
      <w:color w:val="000000"/>
      <w:sz w:val="21"/>
      <w:szCs w:val="21"/>
      <w:u w:val="none"/>
    </w:rPr>
  </w:style>
  <w:style w:type="character" w:customStyle="1" w:styleId="35">
    <w:name w:val="font01"/>
    <w:basedOn w:val="16"/>
    <w:qFormat/>
    <w:uiPriority w:val="0"/>
    <w:rPr>
      <w:rFonts w:hint="default" w:ascii="Times New Roman" w:hAnsi="Times New Roman" w:cs="Times New Roman"/>
      <w:color w:val="000000"/>
      <w:sz w:val="21"/>
      <w:szCs w:val="21"/>
      <w:u w:val="none"/>
    </w:rPr>
  </w:style>
  <w:style w:type="character" w:customStyle="1" w:styleId="36">
    <w:name w:val="font31"/>
    <w:basedOn w:val="16"/>
    <w:qFormat/>
    <w:uiPriority w:val="0"/>
    <w:rPr>
      <w:rFonts w:hint="eastAsia" w:ascii="仿宋_GB2312" w:eastAsia="仿宋_GB2312" w:cs="仿宋_GB2312"/>
      <w:color w:val="000000"/>
      <w:sz w:val="21"/>
      <w:szCs w:val="21"/>
      <w:u w:val="none"/>
    </w:rPr>
  </w:style>
  <w:style w:type="character" w:customStyle="1" w:styleId="37">
    <w:name w:val="font21"/>
    <w:basedOn w:val="16"/>
    <w:qFormat/>
    <w:uiPriority w:val="0"/>
    <w:rPr>
      <w:rFonts w:hint="default" w:ascii="Times New Roman" w:hAnsi="Times New Roman" w:cs="Times New Roman"/>
      <w:color w:val="000000"/>
      <w:sz w:val="21"/>
      <w:szCs w:val="21"/>
      <w:u w:val="none"/>
    </w:rPr>
  </w:style>
  <w:style w:type="character" w:customStyle="1" w:styleId="38">
    <w:name w:val="三调标题3 字符"/>
    <w:basedOn w:val="16"/>
    <w:link w:val="26"/>
    <w:qFormat/>
    <w:uiPriority w:val="0"/>
    <w:rPr>
      <w:rFonts w:ascii="宋体" w:hAnsi="宋体" w:cs="仿宋_GB2312"/>
      <w:b/>
      <w:kern w:val="2"/>
      <w:sz w:val="28"/>
      <w:szCs w:val="28"/>
    </w:rPr>
  </w:style>
  <w:style w:type="character" w:customStyle="1" w:styleId="39">
    <w:name w:val="三调正文 字符"/>
    <w:basedOn w:val="16"/>
    <w:link w:val="23"/>
    <w:qFormat/>
    <w:uiPriority w:val="0"/>
    <w:rPr>
      <w:rFonts w:ascii="宋体" w:hAnsi="宋体" w:eastAsia="仿宋_GB2312" w:cs="仿宋_GB2312"/>
      <w:sz w:val="28"/>
      <w:szCs w:val="28"/>
    </w:rPr>
  </w:style>
  <w:style w:type="character" w:customStyle="1" w:styleId="40">
    <w:name w:val="font41"/>
    <w:basedOn w:val="16"/>
    <w:qFormat/>
    <w:uiPriority w:val="0"/>
    <w:rPr>
      <w:rFonts w:hint="default" w:ascii="Times New Roman" w:hAnsi="Times New Roman" w:cs="Times New Roman"/>
      <w:b/>
      <w:color w:val="000000"/>
      <w:sz w:val="24"/>
      <w:szCs w:val="24"/>
      <w:u w:val="none"/>
    </w:rPr>
  </w:style>
  <w:style w:type="character" w:customStyle="1" w:styleId="41">
    <w:name w:val="bgxz1"/>
    <w:basedOn w:val="16"/>
    <w:qFormat/>
    <w:uiPriority w:val="0"/>
    <w:rPr>
      <w:color w:val="1080E6"/>
    </w:rPr>
  </w:style>
  <w:style w:type="character" w:customStyle="1" w:styleId="42">
    <w:name w:val="ztcx1"/>
    <w:basedOn w:val="16"/>
    <w:qFormat/>
    <w:uiPriority w:val="0"/>
    <w:rPr>
      <w:color w:val="999999"/>
    </w:rPr>
  </w:style>
  <w:style w:type="character" w:customStyle="1" w:styleId="43">
    <w:name w:val="zxsb1"/>
    <w:basedOn w:val="16"/>
    <w:qFormat/>
    <w:uiPriority w:val="0"/>
    <w:rPr>
      <w:color w:val="999999"/>
    </w:rPr>
  </w:style>
  <w:style w:type="character" w:customStyle="1" w:styleId="44">
    <w:name w:val="jgcx1"/>
    <w:basedOn w:val="16"/>
    <w:qFormat/>
    <w:uiPriority w:val="0"/>
    <w:rPr>
      <w:color w:val="999999"/>
    </w:rPr>
  </w:style>
  <w:style w:type="character" w:customStyle="1" w:styleId="45">
    <w:name w:val="font51"/>
    <w:basedOn w:val="16"/>
    <w:qFormat/>
    <w:uiPriority w:val="0"/>
    <w:rPr>
      <w:rFonts w:hint="eastAsia" w:ascii="宋体" w:hAnsi="宋体" w:eastAsia="宋体" w:cs="宋体"/>
      <w:b/>
      <w:color w:val="000000"/>
      <w:sz w:val="24"/>
      <w:szCs w:val="24"/>
      <w:u w:val="none"/>
    </w:rPr>
  </w:style>
  <w:style w:type="character" w:customStyle="1" w:styleId="46">
    <w:name w:val="ztcx"/>
    <w:basedOn w:val="16"/>
    <w:qFormat/>
    <w:uiPriority w:val="0"/>
    <w:rPr>
      <w:color w:val="999999"/>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30</Pages>
  <Words>2012</Words>
  <Characters>11470</Characters>
  <Lines>95</Lines>
  <Paragraphs>26</Paragraphs>
  <TotalTime>5</TotalTime>
  <ScaleCrop>false</ScaleCrop>
  <LinksUpToDate>false</LinksUpToDate>
  <CharactersWithSpaces>13456</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2020-11-09T06:53:00Z</dcterms:created>
  <dc:creator>hasee</dc:creator>
  <cp:lastModifiedBy>Administrator</cp:lastModifiedBy>
  <dcterms:modified xsi:type="dcterms:W3CDTF">2021-05-27T07:38:08Z</dcterms:modified>
  <dc:title>三明市三元区2021年第二批次</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6FA1976BB626453CA790B3F3BE2921D5</vt:lpwstr>
  </property>
</Properties>
</file>