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— V2</w:t>
      </w:r>
    </w:p>
    <w:p>
      <w:r>
        <w:t>Editors, Scientific Reports</w:t>
      </w:r>
    </w:p>
    <w:p>
      <w:r>
        <w:t>Dear Editors,</w:t>
      </w:r>
    </w:p>
    <w:p>
      <w:r>
        <w:t>Please consider our Article, “Target-conditioned refinement of future-blind longitudinal glioma segmentation-change maps across independent cohorts”. The manuscript separates held-out, evaluated-case-future-blind P0 generation from retrospective correction after outcome access. P0 is conditional on current T1c and current segmentation; PCC is transparently defined as Prediction-Comparison-Correction and is not presented as prospective recurrence forecasting.</w:t>
      </w:r>
    </w:p>
    <w:p>
      <w:r>
        <w:t>The study combines development analyses, prelocked confirmation in 113 independent internal patients and RHUH cross-dataset replication in 39 patients. The revision adds explicit cohort-specific P0 pathways, complete method equations, matched-information descriptive controls, linked cohort characteristics and a direct comparison with genuine postoperative future-recurrence prediction literature. Protocol locks and frozen results were unchanged.</w:t>
      </w:r>
    </w:p>
    <w:p>
      <w:r>
        <w:t>We believe this technically focused, reproducible and explicitly bounded analysis is appropriate for Scientific Reports. [AUTHOR CONFIRMATION REQUIRED: originality, author approval and concurrent-submission status.]</w:t>
      </w:r>
    </w:p>
    <w:p>
      <w:r>
        <w:t>Sincerely,</w:t>
      </w:r>
    </w:p>
    <w:p>
      <w:r>
        <w:t>[CORRESPONDING AUTHOR REQUIRED]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  <w:lnNumType w:countBy="1" w:restart="new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