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pPr>
        <w:spacing w:after="100"/>
      </w:pPr>
      <w:r>
        <w:t>2026-08-10</w:t>
      </w:r>
    </w:p>
    <w:p>
      <w:pPr>
        <w:spacing w:after="100"/>
      </w:pPr>
      <w:r>
        <w:t>Editors, Scientific Reports</w:t>
      </w:r>
    </w:p>
    <w:p>
      <w:pPr>
        <w:spacing w:after="100"/>
      </w:pPr>
      <w:r>
        <w:t>Dear Editors,</w:t>
      </w:r>
    </w:p>
    <w:p>
      <w:pPr>
        <w:spacing w:after="100"/>
      </w:pPr>
      <w:r>
        <w:t>Please consider our Article, “Target-conditioned refinement of future-blind longitudinal glioma change maps replicates across independent cohorts”. The study addresses a methodological problem in longitudinal post-treatment glioma MRI: separating a genuinely future-blind initial map from retrospective refinement that uses the realised future-change target. We report a 40-patient development analysis, prelocked confirmation in 113 independent internal patients, and replication in 39 patients from RHUH-GBM. The external P0 stage was physically isolated from recurrence voxel outcomes.</w:t>
      </w:r>
    </w:p>
    <w:p>
      <w:pPr>
        <w:spacing w:after="100"/>
      </w:pPr>
      <w:r>
        <w:t>The manuscript does not present PCC as prospective forecasting or clinical validation. Its contribution is a technically reproducible account of target-conditioned refinement, including negative ablations, oracle-style controls, domain-shifted future-blind performance, fixed ten-round trajectories, multiplicity-controlled paired inference and transparent limitations. This emphasis on technical validity, reproducibility and evidence boundaries is appropriate for Scientific Reports.</w:t>
      </w:r>
    </w:p>
    <w:p>
      <w:pPr>
        <w:spacing w:after="100"/>
      </w:pPr>
      <w:r>
        <w:t>The work is original and [AUTHOR CONFIRMATION REQUIRED: not under consideration elsewhere]. All authors will approve submission. Corresponding author: [NAME, AFFILIATION, ADDRESS, EMAIL REQUIRED]. Reviewer suggestions/exclusions and any prior editor contact: [AUTHOR INPUT REQUIRED].</w:t>
      </w:r>
    </w:p>
    <w:p>
      <w:pPr>
        <w:spacing w:after="100"/>
      </w:pPr>
      <w:r>
        <w:t>Sincerely,</w:t>
      </w:r>
    </w:p>
    <w:p>
      <w:pPr>
        <w:spacing w:after="100"/>
      </w:pPr>
      <w:r>
        <w:t>[CORRESPONDING AUTHOR REQUIRED]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  <w:lnNumType w:countBy="1" w:restart="new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