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  <w:br/>
        <w:br/>
        <w:t>Please consider our Article, “Target-conditioned refinement of future-blind longitudinal glioma segmentation-change maps across independent cohorts,” for Scientific Reports. The study separates future-blind generation of a probability map from a later retrospective, target-conditioned correction. P0 is conditional on current T1c and a current segmentation, while the evaluated case's future image, future segmentation and future-added target are excluded until P0 is frozen.</w:t>
        <w:br/>
        <w:br/>
        <w:t>The technical evidence includes patient-disjoint development, a prelocked 113-patient independent internal confirmation and a 39-patient RHUH cross-dataset replication. Canonical Prediction-Comparison-Correction and the chronology of a prelocked no-smoothing candidate are reported transparently. Retrospective target-access comparators contextualize answer conditioning without being presented as strictly information-equivalent controls. We make no claim of prospective recurrence forecasting or clinical validation.</w:t>
        <w:br/>
        <w:br/>
        <w:t>The manuscript retains protocol locks, cohort and P0 hashes, target-access records, code provenance and deterministic reporting audits. It also reports domain shift, ontology mismatch, current-segmentation dependency and the one-sided target definition as limitations.</w:t>
        <w:br/>
        <w:br/>
        <w:t>[CORRESPONDING_AUTHOR_FULL_CONTACT_REQUIRED]</w:t>
        <w:br/>
        <w:t>[SUGGESTED_REVIEWERS_REQUIRED]</w:t>
        <w:br/>
        <w:t>[EXCLUDED_REVIEWERS_IF_ANY]</w:t>
        <w:br/>
        <w:t>[EDITORIAL_BOARD_MEMBER_PRIOR_DISCUSSION_DECLARATION_REQUIRED]</w:t>
        <w:br/>
        <w:br/>
        <w:t>Sincerely,</w:t>
        <w:br/>
        <w:t>[AUTHOR_LIST_REQUIRED]</w:t>
        <w:br/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  <w:lnNumType w:countBy="1" w:restart="newPag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