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9965D" w14:textId="77777777" w:rsidR="00EF4DDC" w:rsidRDefault="00000000">
      <w:pPr>
        <w:spacing w:before="1400" w:after="200"/>
        <w:jc w:val="center"/>
      </w:pPr>
      <w:r>
        <w:rPr>
          <w:b/>
          <w:bCs/>
          <w:color w:val="1F4E79"/>
          <w:sz w:val="44"/>
          <w:szCs w:val="44"/>
        </w:rPr>
        <w:t>彈性力學模擬實驗</w:t>
      </w:r>
    </w:p>
    <w:p w14:paraId="4919965E" w14:textId="77777777" w:rsidR="00EF4DDC" w:rsidRDefault="00000000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>學習成效問卷｜參考文獻列表</w:t>
      </w:r>
    </w:p>
    <w:p w14:paraId="4919965F" w14:textId="77777777" w:rsidR="00EF4DDC" w:rsidRDefault="00000000">
      <w:pPr>
        <w:spacing w:after="600"/>
        <w:jc w:val="center"/>
      </w:pPr>
      <w:r>
        <w:rPr>
          <w:rFonts w:ascii="Calibri" w:eastAsia="Calibri" w:hAnsi="Calibri" w:cs="Calibri"/>
          <w:i/>
          <w:iCs/>
          <w:color w:val="595959"/>
        </w:rPr>
        <w:t>References for the Elasticity Simulation Learning Outcome Questionnaire</w:t>
      </w:r>
    </w:p>
    <w:p w14:paraId="49199660" w14:textId="77777777" w:rsidR="00EF4DDC" w:rsidRDefault="00000000">
      <w:pPr>
        <w:jc w:val="center"/>
      </w:pPr>
      <w:r>
        <w:t>格式：APA 7th Edition</w:t>
      </w:r>
    </w:p>
    <w:p w14:paraId="49199661" w14:textId="77777777" w:rsidR="00EF4DDC" w:rsidRDefault="00000000">
      <w:pPr>
        <w:spacing w:after="200"/>
        <w:jc w:val="center"/>
      </w:pPr>
      <w:r>
        <w:rPr>
          <w:color w:val="595959"/>
          <w:sz w:val="20"/>
          <w:szCs w:val="20"/>
        </w:rPr>
        <w:t>編製日期：2026-04-25　|　版本：v1.0</w:t>
      </w:r>
    </w:p>
    <w:p w14:paraId="49199662" w14:textId="77777777" w:rsidR="00EF4DDC" w:rsidRDefault="00EF4DDC">
      <w:pPr>
        <w:pageBreakBefore/>
      </w:pPr>
    </w:p>
    <w:p w14:paraId="49199663" w14:textId="77777777" w:rsidR="00EF4DDC" w:rsidRDefault="00000000">
      <w:pPr>
        <w:pStyle w:val="1"/>
      </w:pPr>
      <w:r>
        <w:t>文件說明 / About this Document</w:t>
      </w:r>
    </w:p>
    <w:p w14:paraId="49199664" w14:textId="77777777" w:rsidR="00EF4DDC" w:rsidRDefault="00000000">
      <w:pPr>
        <w:spacing w:before="60" w:after="100" w:line="320" w:lineRule="auto"/>
      </w:pPr>
      <w:r>
        <w:t>本文件為「彈性力學模擬實驗 — 學習成效綜合問卷 v1.0」所引用之全部參考文獻清單，依問卷六大構面與共同基礎理論分類列出，並補充與本模擬實驗主題（橡膠超彈性模型）直接相關之物理工程文獻。</w:t>
      </w:r>
    </w:p>
    <w:p w14:paraId="49199665" w14:textId="77777777" w:rsidR="00EF4DDC" w:rsidRDefault="00000000">
      <w:pPr>
        <w:spacing w:before="60" w:after="100" w:line="320" w:lineRule="auto"/>
      </w:pPr>
      <w:r>
        <w:t>文獻分為以下 8 區塊：</w:t>
      </w:r>
    </w:p>
    <w:p w14:paraId="49199666" w14:textId="77777777" w:rsidR="00EF4DDC" w:rsidRDefault="00000000">
      <w:pPr>
        <w:spacing w:before="30" w:after="30"/>
        <w:ind w:left="360"/>
      </w:pPr>
      <w:r>
        <w:rPr>
          <w:sz w:val="20"/>
          <w:szCs w:val="20"/>
        </w:rPr>
        <w:t>1. 建模能力與後設認知（Modeling Competence &amp; Metacognition）</w:t>
      </w:r>
    </w:p>
    <w:p w14:paraId="49199667" w14:textId="77777777" w:rsidR="00EF4DDC" w:rsidRDefault="00000000">
      <w:pPr>
        <w:spacing w:before="30" w:after="30"/>
        <w:ind w:left="360"/>
      </w:pPr>
      <w:r>
        <w:rPr>
          <w:sz w:val="20"/>
          <w:szCs w:val="20"/>
        </w:rPr>
        <w:t>2. 模型應用邊界條件與科學本質（Model Boundaries &amp; Nature of Science）</w:t>
      </w:r>
    </w:p>
    <w:p w14:paraId="49199668" w14:textId="77777777" w:rsidR="00EF4DDC" w:rsidRDefault="00000000">
      <w:pPr>
        <w:spacing w:before="30" w:after="30"/>
        <w:ind w:left="360"/>
      </w:pPr>
      <w:r>
        <w:rPr>
          <w:sz w:val="20"/>
          <w:szCs w:val="20"/>
        </w:rPr>
        <w:t>3. 探究學習（Inquiry-Based Learning）</w:t>
      </w:r>
    </w:p>
    <w:p w14:paraId="49199669" w14:textId="77777777" w:rsidR="00EF4DDC" w:rsidRDefault="00000000">
      <w:pPr>
        <w:spacing w:before="30" w:after="30"/>
        <w:ind w:left="360"/>
      </w:pPr>
      <w:r>
        <w:rPr>
          <w:sz w:val="20"/>
          <w:szCs w:val="20"/>
        </w:rPr>
        <w:t>4. 模擬實驗與虛擬實驗室（Simulations &amp; Virtual Labs）</w:t>
      </w:r>
    </w:p>
    <w:p w14:paraId="4919966A" w14:textId="77777777" w:rsidR="00EF4DDC" w:rsidRDefault="00000000">
      <w:pPr>
        <w:spacing w:before="30" w:after="30"/>
        <w:ind w:left="360"/>
      </w:pPr>
      <w:r>
        <w:rPr>
          <w:sz w:val="20"/>
          <w:szCs w:val="20"/>
        </w:rPr>
        <w:t>5. 自我調節學習（Self-Regulated Learning）</w:t>
      </w:r>
    </w:p>
    <w:p w14:paraId="4919966B" w14:textId="77777777" w:rsidR="00EF4DDC" w:rsidRDefault="00000000">
      <w:pPr>
        <w:spacing w:before="30" w:after="30"/>
        <w:ind w:left="360"/>
      </w:pPr>
      <w:r>
        <w:rPr>
          <w:sz w:val="20"/>
          <w:szCs w:val="20"/>
        </w:rPr>
        <w:t>6. AI 與數位學習素養（AI &amp; Digital Learning Literacy）</w:t>
      </w:r>
    </w:p>
    <w:p w14:paraId="4919966C" w14:textId="77777777" w:rsidR="00EF4DDC" w:rsidRDefault="00000000">
      <w:pPr>
        <w:spacing w:before="30" w:after="30"/>
        <w:ind w:left="360"/>
      </w:pPr>
      <w:r>
        <w:rPr>
          <w:sz w:val="20"/>
          <w:szCs w:val="20"/>
        </w:rPr>
        <w:t>7. 物理 / 工程基礎理論文獻（Physics &amp; Engineering Foundations）</w:t>
      </w:r>
    </w:p>
    <w:p w14:paraId="4919966D" w14:textId="77777777" w:rsidR="00EF4DDC" w:rsidRDefault="00000000">
      <w:pPr>
        <w:spacing w:before="30" w:after="30"/>
        <w:ind w:left="360"/>
      </w:pPr>
      <w:r>
        <w:rPr>
          <w:sz w:val="20"/>
          <w:szCs w:val="20"/>
        </w:rPr>
        <w:t>8. 相關方法學工具（Methodological Tools）</w:t>
      </w:r>
    </w:p>
    <w:p w14:paraId="4919966E" w14:textId="77777777" w:rsidR="00EF4DDC" w:rsidRDefault="00000000">
      <w:r>
        <w:t xml:space="preserve"> </w:t>
      </w:r>
    </w:p>
    <w:p w14:paraId="4919966F" w14:textId="77777777" w:rsidR="00EF4DDC" w:rsidRDefault="00000000">
      <w:pPr>
        <w:spacing w:before="40" w:after="80" w:line="280" w:lineRule="auto"/>
      </w:pPr>
      <w:r>
        <w:rPr>
          <w:i/>
          <w:iCs/>
          <w:color w:val="595959"/>
          <w:sz w:val="18"/>
          <w:szCs w:val="18"/>
        </w:rPr>
        <w:t>註：所有條目皆採 APA 第 7 版格式，含 DOI；中文文獻於行末以中括號標註中譯題名。問卷「〔出處：…〕」欄位之引用代號可在本清單對應到完整書目資訊。</w:t>
      </w:r>
    </w:p>
    <w:p w14:paraId="49199670" w14:textId="77777777" w:rsidR="00EF4DDC" w:rsidRDefault="00EF4DDC">
      <w:pPr>
        <w:pageBreakBefore/>
      </w:pPr>
    </w:p>
    <w:p w14:paraId="49199671" w14:textId="77777777" w:rsidR="00EF4DDC" w:rsidRDefault="00000000">
      <w:pPr>
        <w:pStyle w:val="1"/>
      </w:pPr>
      <w:r>
        <w:t>1. 建模能力與後設認知</w:t>
      </w:r>
    </w:p>
    <w:p w14:paraId="49199672" w14:textId="77777777" w:rsidR="00EF4DDC" w:rsidRDefault="00000000">
      <w:pPr>
        <w:pStyle w:val="2"/>
      </w:pPr>
      <w:r>
        <w:t>Modeling Competence &amp; Metacognition</w:t>
      </w:r>
      <w:r>
        <w:rPr>
          <w:rFonts w:ascii="Calibri" w:eastAsia="Calibri" w:hAnsi="Calibri" w:cs="Calibri"/>
          <w:i/>
          <w:iCs/>
          <w:color w:val="808080"/>
          <w:sz w:val="20"/>
          <w:szCs w:val="20"/>
        </w:rPr>
        <w:t xml:space="preserve">   </w:t>
      </w:r>
    </w:p>
    <w:p w14:paraId="49199673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Halloun, I. A. (2007). Mediated modeling in science education. Science &amp; Education, 16(7–8), 653–697. https://doi.org/10.1007/s11191-006-9004-3</w:t>
      </w:r>
    </w:p>
    <w:p w14:paraId="49199674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Hestenes, D. (1992). Modeling games in the Newtonian world. American Journal of Physics, 60(8), 732–748. https://doi.org/10.1119/1.17080</w:t>
      </w:r>
    </w:p>
    <w:p w14:paraId="49199675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 xml:space="preserve">Justi, R. S., &amp; Gilbert, J. K. (2002). Modelling, teachers' views on the nature of modelling, and implications for the education of </w:t>
      </w:r>
      <w:proofErr w:type="spellStart"/>
      <w:r>
        <w:rPr>
          <w:rFonts w:ascii="Calibri" w:eastAsia="Calibri" w:hAnsi="Calibri" w:cs="Calibri"/>
          <w:sz w:val="20"/>
          <w:szCs w:val="20"/>
        </w:rPr>
        <w:t>modellers</w:t>
      </w:r>
      <w:proofErr w:type="spellEnd"/>
      <w:r>
        <w:rPr>
          <w:rFonts w:ascii="Calibri" w:eastAsia="Calibri" w:hAnsi="Calibri" w:cs="Calibri"/>
          <w:sz w:val="20"/>
          <w:szCs w:val="20"/>
        </w:rPr>
        <w:t>. International Journal of Science Education, 24(4), 369–387. https://doi.org/10.1080/09500690110110142</w:t>
      </w:r>
    </w:p>
    <w:p w14:paraId="49199676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Krell, M., &amp; Krüger, D. (2016). Testing models: A key aspect to promote teaching activities related to models and modelling in biology lessons? Journal of Biological Education, 50(2), 160–173. https://doi.org/10.1080/00219266.2015.1028570</w:t>
      </w:r>
    </w:p>
    <w:p w14:paraId="49199677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Lehrer, R., &amp; Schauble, L. (2015). The development of scientific thinking. In L. S. Liben &amp; U. Müller (Eds.), Handbook of child psychology and developmental science (Vol. 2, pp. 671–714). John Wiley &amp; Sons. https://doi.org/10.1002/9781118963418.childpsy216</w:t>
      </w:r>
    </w:p>
    <w:p w14:paraId="49199678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Nicolaou, C. T., &amp; Constantinou, C. P. (2014). Assessment of the modeling competence: A systematic review and synthesis of empirical research. Educational Research Review, 13, 52–73. https://doi.org/10.1016/j.edurev.2014.10.001</w:t>
      </w:r>
    </w:p>
    <w:p w14:paraId="49199679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Schraw, G., &amp; Dennison, R. S. (1994). Assessing metacognitive awareness. Contemporary Educational Psychology, 19(4), 460–475. https://doi.org/10.1006/ceps.1994.1033</w:t>
      </w:r>
    </w:p>
    <w:p w14:paraId="4919967A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 xml:space="preserve">Schwarz, C. V., Reiser, B. J., Davis, E. A., Kenyon, L., </w:t>
      </w:r>
      <w:proofErr w:type="spellStart"/>
      <w:r>
        <w:rPr>
          <w:rFonts w:ascii="Calibri" w:eastAsia="Calibri" w:hAnsi="Calibri" w:cs="Calibri"/>
          <w:sz w:val="20"/>
          <w:szCs w:val="20"/>
        </w:rPr>
        <w:t>Achér</w:t>
      </w:r>
      <w:proofErr w:type="spellEnd"/>
      <w:r>
        <w:rPr>
          <w:rFonts w:ascii="Calibri" w:eastAsia="Calibri" w:hAnsi="Calibri" w:cs="Calibri"/>
          <w:sz w:val="20"/>
          <w:szCs w:val="20"/>
        </w:rPr>
        <w:t>, A., Fortus, D., Shwartz, Y., Hug, B., &amp; Krajcik, J. (2009). Developing a learning progression for scientific modeling: Making scientific modeling accessible and meaningful for learners. Journal of Research in Science Teaching, 46(6), 632–654. https://doi.org/10.1002/tea.20311</w:t>
      </w:r>
    </w:p>
    <w:p w14:paraId="4919967B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Thomas, G., Anderson, D., &amp; Nashon, S. (2008). Development of an instrument designed to investigate elements of science students' metacognition, self-efficacy and learning processes: The SEMLI-S. International Journal of Science Education, 30(13), 1701–1724. https://doi.org/10.1080/09500690701482493</w:t>
      </w:r>
    </w:p>
    <w:p w14:paraId="4919967C" w14:textId="77777777" w:rsidR="00EF4DDC" w:rsidRDefault="00000000">
      <w:pPr>
        <w:spacing w:before="80" w:after="80" w:line="320" w:lineRule="auto"/>
        <w:ind w:left="720" w:hanging="720"/>
      </w:pPr>
      <w:proofErr w:type="spellStart"/>
      <w:r>
        <w:rPr>
          <w:rFonts w:ascii="Calibri" w:eastAsia="Calibri" w:hAnsi="Calibri" w:cs="Calibri"/>
          <w:sz w:val="20"/>
          <w:szCs w:val="20"/>
        </w:rPr>
        <w:t>Upmeier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zu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Belzen</w:t>
      </w:r>
      <w:proofErr w:type="spellEnd"/>
      <w:r>
        <w:rPr>
          <w:rFonts w:ascii="Calibri" w:eastAsia="Calibri" w:hAnsi="Calibri" w:cs="Calibri"/>
          <w:sz w:val="20"/>
          <w:szCs w:val="20"/>
        </w:rPr>
        <w:t>, A., Krüger, D., &amp; van Driel, J. (Eds.). (2019). Towards a competence-based view on models and modeling in science education. Springer. https://doi.org/10.1007/978-3-030-30255-9</w:t>
      </w:r>
    </w:p>
    <w:p w14:paraId="4919967D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Krell, M., Reinisch, B., &amp; Krüger, D. (2015). Analyzing students' understanding of models and modeling referring to the disciplines biology, chemistry, and physics. Research in Science Education, 45(3), 367–393. https://doi.org/10.1007/s11165-014-9427-9</w:t>
      </w:r>
    </w:p>
    <w:p w14:paraId="4919967E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Göhner, M. F., Bielik, T., &amp; Krell, M. (2022). Investigating the dimensions of modeling competence among preservice science teachers: Meta-modeling knowledge, modeling practice, and modeling product. Journal of Research in Science Teaching, 59(7), 1354–1387. https://doi.org/10.1002/tea.21759</w:t>
      </w:r>
    </w:p>
    <w:p w14:paraId="4919967F" w14:textId="1CE6F10A" w:rsidR="00EF4DDC" w:rsidRDefault="00000000">
      <w:pPr>
        <w:spacing w:before="80" w:after="80" w:line="320" w:lineRule="auto"/>
        <w:ind w:left="720" w:hanging="720"/>
        <w:rPr>
          <w:rFonts w:ascii="Calibri" w:eastAsiaTheme="minorEastAsia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Ammoneit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R., &amp; Krüger, D. (2024). Why most definitions of modeling competence in science education fall short: Analyzing </w:t>
      </w:r>
      <w:r>
        <w:rPr>
          <w:rFonts w:ascii="Calibri" w:eastAsia="Calibri" w:hAnsi="Calibri" w:cs="Calibri"/>
          <w:sz w:val="20"/>
          <w:szCs w:val="20"/>
        </w:rPr>
        <w:lastRenderedPageBreak/>
        <w:t xml:space="preserve">the relevance of volition for modeling. Science Education, 108(2), 364–388. </w:t>
      </w:r>
      <w:hyperlink r:id="rId7" w:history="1">
        <w:r w:rsidR="0026032F" w:rsidRPr="00C368E7">
          <w:rPr>
            <w:rStyle w:val="a5"/>
            <w:rFonts w:ascii="Calibri" w:eastAsia="Calibri" w:hAnsi="Calibri" w:cs="Calibri"/>
            <w:sz w:val="20"/>
            <w:szCs w:val="20"/>
          </w:rPr>
          <w:t>https://doi.org/10.1002/sce.21841</w:t>
        </w:r>
      </w:hyperlink>
    </w:p>
    <w:p w14:paraId="68658953" w14:textId="77777777" w:rsidR="0026032F" w:rsidRDefault="0026032F" w:rsidP="0026032F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Lederman, N. G., Abd-El-</w:t>
      </w:r>
      <w:proofErr w:type="spellStart"/>
      <w:r>
        <w:rPr>
          <w:rFonts w:ascii="Calibri" w:eastAsia="Calibri" w:hAnsi="Calibri" w:cs="Calibri"/>
          <w:sz w:val="20"/>
          <w:szCs w:val="20"/>
        </w:rPr>
        <w:t>Khalick</w:t>
      </w:r>
      <w:proofErr w:type="spellEnd"/>
      <w:r>
        <w:rPr>
          <w:rFonts w:ascii="Calibri" w:eastAsia="Calibri" w:hAnsi="Calibri" w:cs="Calibri"/>
          <w:sz w:val="20"/>
          <w:szCs w:val="20"/>
        </w:rPr>
        <w:t>, F., Bell, R. L., &amp; Schwartz, R. S. (2002). Views of nature of science questionnaire: Toward valid and meaningful assessment of learners' conceptions of nature of science. Journal of Research in Science Teaching, 39(6), 497–521. https://doi.org/10.1002/tea.10034</w:t>
      </w:r>
    </w:p>
    <w:p w14:paraId="1A521164" w14:textId="77777777" w:rsidR="0026032F" w:rsidRDefault="0026032F" w:rsidP="0026032F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 xml:space="preserve">Smith, J. P., </w:t>
      </w:r>
      <w:proofErr w:type="spellStart"/>
      <w:r>
        <w:rPr>
          <w:rFonts w:ascii="Calibri" w:eastAsia="Calibri" w:hAnsi="Calibri" w:cs="Calibri"/>
          <w:sz w:val="20"/>
          <w:szCs w:val="20"/>
        </w:rPr>
        <w:t>diSessa</w:t>
      </w:r>
      <w:proofErr w:type="spellEnd"/>
      <w:r>
        <w:rPr>
          <w:rFonts w:ascii="Calibri" w:eastAsia="Calibri" w:hAnsi="Calibri" w:cs="Calibri"/>
          <w:sz w:val="20"/>
          <w:szCs w:val="20"/>
        </w:rPr>
        <w:t>, A. A., &amp; Roschelle, J. (1993). Misconceptions reconceived: A constructivist analysis of knowledge in transition. Journal of the Learning Sciences, 3(2), 115–163. https://doi.org/10.1207/s15327809jls0302_1</w:t>
      </w:r>
    </w:p>
    <w:p w14:paraId="5971F3CE" w14:textId="77777777" w:rsidR="0026032F" w:rsidRDefault="0026032F" w:rsidP="0026032F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Schwartz, R. S., Lederman, N. G., &amp; Crawford, B. A. (2004). Developing views of nature of science in an authentic context: An explicit approach to bridging the gap between nature of science and scientific inquiry. Science Education, 88(4), 610–645. https://doi.org/10.1002/sce.10128</w:t>
      </w:r>
    </w:p>
    <w:p w14:paraId="03A314CF" w14:textId="77777777" w:rsidR="0026032F" w:rsidRDefault="0026032F" w:rsidP="0026032F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Hestenes, D. (1996). Modeling methodology for physics teachers. In E. F. Redish &amp; J. S. Rigden (Eds.), The changing role of physics departments in modern universities (pp. 935–957). American Institute of Physics. https://doi.org/10.1063/1.50028</w:t>
      </w:r>
    </w:p>
    <w:p w14:paraId="2261FD0D" w14:textId="77777777" w:rsidR="0026032F" w:rsidRDefault="0026032F" w:rsidP="0026032F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 xml:space="preserve">Sins, P. H. M., </w:t>
      </w:r>
      <w:proofErr w:type="spellStart"/>
      <w:r>
        <w:rPr>
          <w:rFonts w:ascii="Calibri" w:eastAsia="Calibri" w:hAnsi="Calibri" w:cs="Calibri"/>
          <w:sz w:val="20"/>
          <w:szCs w:val="20"/>
        </w:rPr>
        <w:t>Savelsbergh</w:t>
      </w:r>
      <w:proofErr w:type="spellEnd"/>
      <w:r>
        <w:rPr>
          <w:rFonts w:ascii="Calibri" w:eastAsia="Calibri" w:hAnsi="Calibri" w:cs="Calibri"/>
          <w:sz w:val="20"/>
          <w:szCs w:val="20"/>
        </w:rPr>
        <w:t>, E. R., van Joolingen, W. R., &amp; van Hout-Wolters, B. H. A. M. (2009). The relation between students' epistemological understanding of computer models and their cognitive processing on a modelling task. International Journal of Science Education, 31(9), 1205–1229. https://doi.org/10.1080/09500690802192181</w:t>
      </w:r>
    </w:p>
    <w:p w14:paraId="2435A9E0" w14:textId="77777777" w:rsidR="0026032F" w:rsidRDefault="0026032F" w:rsidP="0026032F">
      <w:pPr>
        <w:spacing w:before="80" w:after="80" w:line="320" w:lineRule="auto"/>
        <w:ind w:left="720" w:hanging="720"/>
      </w:pPr>
      <w:proofErr w:type="spellStart"/>
      <w:r>
        <w:rPr>
          <w:rFonts w:ascii="Calibri" w:eastAsia="Calibri" w:hAnsi="Calibri" w:cs="Calibri"/>
          <w:sz w:val="20"/>
          <w:szCs w:val="20"/>
        </w:rPr>
        <w:t>Kapon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S., &amp; </w:t>
      </w:r>
      <w:proofErr w:type="spellStart"/>
      <w:r>
        <w:rPr>
          <w:rFonts w:ascii="Calibri" w:eastAsia="Calibri" w:hAnsi="Calibri" w:cs="Calibri"/>
          <w:sz w:val="20"/>
          <w:szCs w:val="20"/>
        </w:rPr>
        <w:t>diSessa</w:t>
      </w:r>
      <w:proofErr w:type="spellEnd"/>
      <w:r>
        <w:rPr>
          <w:rFonts w:ascii="Calibri" w:eastAsia="Calibri" w:hAnsi="Calibri" w:cs="Calibri"/>
          <w:sz w:val="20"/>
          <w:szCs w:val="20"/>
        </w:rPr>
        <w:t>, A. A. (2012). Reasoning through instructional analogies. Cognition and Instruction, 30(3), 261–310. https://doi.org/10.1080/07370008.2012.689385</w:t>
      </w:r>
    </w:p>
    <w:p w14:paraId="223B1D77" w14:textId="77777777" w:rsidR="0026032F" w:rsidRPr="0026032F" w:rsidRDefault="0026032F">
      <w:pPr>
        <w:spacing w:before="80" w:after="80" w:line="320" w:lineRule="auto"/>
        <w:ind w:left="720" w:hanging="720"/>
        <w:rPr>
          <w:rFonts w:eastAsiaTheme="minorEastAsia" w:hint="eastAsia"/>
        </w:rPr>
      </w:pPr>
    </w:p>
    <w:p w14:paraId="49199689" w14:textId="77777777" w:rsidR="00EF4DDC" w:rsidRDefault="00EF4DDC">
      <w:pPr>
        <w:pageBreakBefore/>
        <w:rPr>
          <w:rFonts w:hint="eastAsia"/>
        </w:rPr>
      </w:pPr>
    </w:p>
    <w:p w14:paraId="4919968A" w14:textId="77777777" w:rsidR="00EF4DDC" w:rsidRDefault="00000000">
      <w:pPr>
        <w:pStyle w:val="1"/>
      </w:pPr>
      <w:r>
        <w:t>3. 探究學習</w:t>
      </w:r>
    </w:p>
    <w:p w14:paraId="4919968B" w14:textId="77777777" w:rsidR="00EF4DDC" w:rsidRDefault="00000000">
      <w:pPr>
        <w:pStyle w:val="2"/>
      </w:pPr>
      <w:r>
        <w:t>Inquiry-Based Learning</w:t>
      </w:r>
      <w:r>
        <w:rPr>
          <w:rFonts w:ascii="Calibri" w:eastAsia="Calibri" w:hAnsi="Calibri" w:cs="Calibri"/>
          <w:i/>
          <w:iCs/>
          <w:color w:val="808080"/>
          <w:sz w:val="20"/>
          <w:szCs w:val="20"/>
        </w:rPr>
        <w:t xml:space="preserve">   </w:t>
      </w:r>
    </w:p>
    <w:p w14:paraId="4919968C" w14:textId="77777777" w:rsidR="00EF4DDC" w:rsidRDefault="00000000">
      <w:pPr>
        <w:spacing w:before="80" w:after="80" w:line="320" w:lineRule="auto"/>
        <w:ind w:left="720" w:hanging="720"/>
      </w:pPr>
      <w:proofErr w:type="spellStart"/>
      <w:r>
        <w:rPr>
          <w:rFonts w:ascii="Calibri" w:eastAsia="Calibri" w:hAnsi="Calibri" w:cs="Calibri"/>
          <w:sz w:val="20"/>
          <w:szCs w:val="20"/>
        </w:rPr>
        <w:t>Pedaste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M., Mäeots, M., </w:t>
      </w:r>
      <w:proofErr w:type="spellStart"/>
      <w:r>
        <w:rPr>
          <w:rFonts w:ascii="Calibri" w:eastAsia="Calibri" w:hAnsi="Calibri" w:cs="Calibri"/>
          <w:sz w:val="20"/>
          <w:szCs w:val="20"/>
        </w:rPr>
        <w:t>Siiman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L. A., de Jong, T., van Riesen, S. A. N., Kamp, E. T., Manoli, C. C., Zacharia, Z. C., &amp; </w:t>
      </w:r>
      <w:proofErr w:type="spellStart"/>
      <w:r>
        <w:rPr>
          <w:rFonts w:ascii="Calibri" w:eastAsia="Calibri" w:hAnsi="Calibri" w:cs="Calibri"/>
          <w:sz w:val="20"/>
          <w:szCs w:val="20"/>
        </w:rPr>
        <w:t>Tsourlidaki</w:t>
      </w:r>
      <w:proofErr w:type="spellEnd"/>
      <w:r>
        <w:rPr>
          <w:rFonts w:ascii="Calibri" w:eastAsia="Calibri" w:hAnsi="Calibri" w:cs="Calibri"/>
          <w:sz w:val="20"/>
          <w:szCs w:val="20"/>
        </w:rPr>
        <w:t>, E. (2015). Phases of inquiry-based learning: Definitions and the inquiry cycle. Educational Research Review, 14, 47–61. https://doi.org/10.1016/j.edurev.2015.02.003</w:t>
      </w:r>
    </w:p>
    <w:p w14:paraId="4919968D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Furtak, E. M., Seidel, T., Iverson, H., &amp; Briggs, D. C. (2012). Experimental and quasi-experimental studies of inquiry-based science teaching: A meta-analysis. Review of Educational Research, 82(3), 300–329. https://doi.org/10.3102/0034654312457206</w:t>
      </w:r>
    </w:p>
    <w:p w14:paraId="4919968E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Minner, D. D., Levy, A. J., &amp; Century, J. (2010). Inquiry-based science instruction—what is it and does it matter? Results from a research synthesis years 1984 to 2002. Journal of Research in Science Teaching, 47(4), 474–496. https://doi.org/10.1002/tea.20347</w:t>
      </w:r>
    </w:p>
    <w:p w14:paraId="4919968F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 xml:space="preserve">Bell, T., </w:t>
      </w:r>
      <w:proofErr w:type="spellStart"/>
      <w:r>
        <w:rPr>
          <w:rFonts w:ascii="Calibri" w:eastAsia="Calibri" w:hAnsi="Calibri" w:cs="Calibri"/>
          <w:sz w:val="20"/>
          <w:szCs w:val="20"/>
        </w:rPr>
        <w:t>Urhahne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D., Schanze, S., &amp; </w:t>
      </w:r>
      <w:proofErr w:type="spellStart"/>
      <w:r>
        <w:rPr>
          <w:rFonts w:ascii="Calibri" w:eastAsia="Calibri" w:hAnsi="Calibri" w:cs="Calibri"/>
          <w:sz w:val="20"/>
          <w:szCs w:val="20"/>
        </w:rPr>
        <w:t>Ploetzner</w:t>
      </w:r>
      <w:proofErr w:type="spellEnd"/>
      <w:r>
        <w:rPr>
          <w:rFonts w:ascii="Calibri" w:eastAsia="Calibri" w:hAnsi="Calibri" w:cs="Calibri"/>
          <w:sz w:val="20"/>
          <w:szCs w:val="20"/>
        </w:rPr>
        <w:t>, R. (2010). Collaborative inquiry learning: Models, tools, and challenges. International Journal of Science Education, 32(3), 349–377. https://doi.org/10.1080/09500690802582241</w:t>
      </w:r>
    </w:p>
    <w:p w14:paraId="49199690" w14:textId="77777777" w:rsidR="00EF4DDC" w:rsidRDefault="00000000">
      <w:pPr>
        <w:spacing w:before="80" w:after="80" w:line="320" w:lineRule="auto"/>
        <w:ind w:left="720" w:hanging="720"/>
      </w:pPr>
      <w:proofErr w:type="spellStart"/>
      <w:r>
        <w:rPr>
          <w:rFonts w:ascii="Calibri" w:eastAsia="Calibri" w:hAnsi="Calibri" w:cs="Calibri"/>
          <w:sz w:val="20"/>
          <w:szCs w:val="20"/>
        </w:rPr>
        <w:t>Lazonder</w:t>
      </w:r>
      <w:proofErr w:type="spellEnd"/>
      <w:r>
        <w:rPr>
          <w:rFonts w:ascii="Calibri" w:eastAsia="Calibri" w:hAnsi="Calibri" w:cs="Calibri"/>
          <w:sz w:val="20"/>
          <w:szCs w:val="20"/>
        </w:rPr>
        <w:t>, A. W., &amp; Harmsen, R. (2016). Meta-analysis of inquiry-based learning: Effects of guidance. Review of Educational Research, 86(3), 681–718. https://doi.org/10.3102/0034654315627366</w:t>
      </w:r>
    </w:p>
    <w:p w14:paraId="49199691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National Research Council. (2013). Next Generation Science Standards: For states, by states. The National Academies Press. https://doi.org/10.17226/18290</w:t>
      </w:r>
    </w:p>
    <w:p w14:paraId="49199692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Crawford, B. A. (2014). From inquiry to scientific practices in the science classroom. In N. G. Lederman &amp; S. K. Abell (Eds.), Handbook of research on science education (Vol. II, pp. 515–541). Routledge.</w:t>
      </w:r>
    </w:p>
    <w:p w14:paraId="49199693" w14:textId="77777777" w:rsidR="00EF4DDC" w:rsidRDefault="00EF4DDC">
      <w:pPr>
        <w:pageBreakBefore/>
      </w:pPr>
    </w:p>
    <w:p w14:paraId="49199694" w14:textId="77777777" w:rsidR="00EF4DDC" w:rsidRDefault="00000000">
      <w:pPr>
        <w:pStyle w:val="1"/>
      </w:pPr>
      <w:r>
        <w:t>4. 模擬實驗與虛擬實驗室</w:t>
      </w:r>
    </w:p>
    <w:p w14:paraId="49199695" w14:textId="77777777" w:rsidR="00EF4DDC" w:rsidRDefault="00000000">
      <w:pPr>
        <w:pStyle w:val="2"/>
      </w:pPr>
      <w:r>
        <w:t>Simulations &amp; Virtual Labs</w:t>
      </w:r>
      <w:r>
        <w:rPr>
          <w:rFonts w:ascii="Calibri" w:eastAsia="Calibri" w:hAnsi="Calibri" w:cs="Calibri"/>
          <w:i/>
          <w:iCs/>
          <w:color w:val="808080"/>
          <w:sz w:val="20"/>
          <w:szCs w:val="20"/>
        </w:rPr>
        <w:t xml:space="preserve">   </w:t>
      </w:r>
    </w:p>
    <w:p w14:paraId="49199696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de Jong, T., Linn, M. C., &amp; Zacharia, Z. C. (2013). Physical and virtual laboratories in science and engineering education. Science, 340(6130), 305–308. https://doi.org/10.1126/science.1230579</w:t>
      </w:r>
    </w:p>
    <w:p w14:paraId="49199697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 xml:space="preserve">de Jong, T., &amp; van </w:t>
      </w:r>
      <w:proofErr w:type="spellStart"/>
      <w:r>
        <w:rPr>
          <w:rFonts w:ascii="Calibri" w:eastAsia="Calibri" w:hAnsi="Calibri" w:cs="Calibri"/>
          <w:sz w:val="20"/>
          <w:szCs w:val="20"/>
        </w:rPr>
        <w:t>Joolingen</w:t>
      </w:r>
      <w:proofErr w:type="spellEnd"/>
      <w:r>
        <w:rPr>
          <w:rFonts w:ascii="Calibri" w:eastAsia="Calibri" w:hAnsi="Calibri" w:cs="Calibri"/>
          <w:sz w:val="20"/>
          <w:szCs w:val="20"/>
        </w:rPr>
        <w:t>, W. R. (1998). Scientific discovery learning with computer simulations of conceptual domains. Review of Educational Research, 68(2), 179–201. https://doi.org/10.3102/00346543068002179</w:t>
      </w:r>
    </w:p>
    <w:p w14:paraId="49199698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Smetana, L. K., &amp; Bell, R. L. (2012). Computer simulations to support science instruction and learning: A critical review of the literature. International Journal of Science Education, 34(9), 1337–1370. https://doi.org/10.1080/09500693.2011.605182</w:t>
      </w:r>
    </w:p>
    <w:p w14:paraId="49199699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Rutten, N., van Joolingen, W. R., &amp; van der Veen, J. T. (2012). The learning effects of computer simulations in science education. Computers &amp; Education, 58(1), 136–153. https://doi.org/10.1016/j.compedu.2011.07.017</w:t>
      </w:r>
    </w:p>
    <w:p w14:paraId="4919969A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 xml:space="preserve">Wieman, C. E., Adams, W. K., &amp; Perkins, K. K. (2008). </w:t>
      </w:r>
      <w:proofErr w:type="spellStart"/>
      <w:r>
        <w:rPr>
          <w:rFonts w:ascii="Calibri" w:eastAsia="Calibri" w:hAnsi="Calibri" w:cs="Calibri"/>
          <w:sz w:val="20"/>
          <w:szCs w:val="20"/>
        </w:rPr>
        <w:t>PhET</w:t>
      </w:r>
      <w:proofErr w:type="spellEnd"/>
      <w:r>
        <w:rPr>
          <w:rFonts w:ascii="Calibri" w:eastAsia="Calibri" w:hAnsi="Calibri" w:cs="Calibri"/>
          <w:sz w:val="20"/>
          <w:szCs w:val="20"/>
        </w:rPr>
        <w:t>: Simulations that enhance learning. Science, 322(5902), 682–683. https://doi.org/10.1126/science.1161948</w:t>
      </w:r>
    </w:p>
    <w:p w14:paraId="4919969B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Wieman, C., &amp; Perkins, K. (2006). A powerful tool for teaching science. Nature Physics, 2(5), 290–292. https://doi.org/10.1038/nphys283</w:t>
      </w:r>
    </w:p>
    <w:p w14:paraId="4919969C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 xml:space="preserve">Ainsworth, S. (2006). </w:t>
      </w:r>
      <w:proofErr w:type="spellStart"/>
      <w:r>
        <w:rPr>
          <w:rFonts w:ascii="Calibri" w:eastAsia="Calibri" w:hAnsi="Calibri" w:cs="Calibri"/>
          <w:sz w:val="20"/>
          <w:szCs w:val="20"/>
        </w:rPr>
        <w:t>DeFT</w:t>
      </w:r>
      <w:proofErr w:type="spellEnd"/>
      <w:r>
        <w:rPr>
          <w:rFonts w:ascii="Calibri" w:eastAsia="Calibri" w:hAnsi="Calibri" w:cs="Calibri"/>
          <w:sz w:val="20"/>
          <w:szCs w:val="20"/>
        </w:rPr>
        <w:t>: A conceptual framework for considering learning with multiple representations. Learning and Instruction, 16(3), 183–198. https://doi.org/10.1016/j.learninstruc.2006.03.001</w:t>
      </w:r>
    </w:p>
    <w:p w14:paraId="4919969D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Chen, S., Lo, H. C., Lin, J. W., Liang, J. C., Chang, H. Y., Hwang, F. K., Chiou, G. L., Wu, Y. T., Lee, S. W. Y., Wu, H. K., Wang, C. Y., &amp; Tsai, C. C. (2020). Development and implications of technology in reform-based physics laboratories. Physical Review Physics Education Research, 16(1), 010120. https://doi.org/10.1103/PhysRevPhysEducRes.16.010120</w:t>
      </w:r>
    </w:p>
    <w:p w14:paraId="4919969E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Chiu, M. H. (2007). A national survey of students' conceptions of chemistry in Taiwan. International Journal of Science Education, 29(4), 421–452. https://doi.org/10.1080/09500690601072964</w:t>
      </w:r>
    </w:p>
    <w:p w14:paraId="4919969F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Adams, W. K., Reid, S., LeMaster, R., McKagan, S. B., Perkins, K. K., Dubson, M., &amp; Wieman, C. E. (2008). A study of educational simulations Part I — Engagement and learning. Journal of Interactive Learning Research, 19(3), 397–419.</w:t>
      </w:r>
    </w:p>
    <w:p w14:paraId="491996AB" w14:textId="77777777" w:rsidR="00EF4DDC" w:rsidRDefault="00EF4DDC">
      <w:pPr>
        <w:pageBreakBefore/>
      </w:pPr>
    </w:p>
    <w:p w14:paraId="491996AC" w14:textId="77777777" w:rsidR="00EF4DDC" w:rsidRDefault="00000000">
      <w:pPr>
        <w:pStyle w:val="1"/>
      </w:pPr>
      <w:r>
        <w:t>6. AI 與數位學習素養</w:t>
      </w:r>
    </w:p>
    <w:p w14:paraId="491996AD" w14:textId="77777777" w:rsidR="00EF4DDC" w:rsidRDefault="00000000">
      <w:pPr>
        <w:pStyle w:val="2"/>
      </w:pPr>
      <w:r>
        <w:t>AI &amp; Digital Learning Literacy</w:t>
      </w:r>
      <w:r>
        <w:rPr>
          <w:rFonts w:ascii="Calibri" w:eastAsia="Calibri" w:hAnsi="Calibri" w:cs="Calibri"/>
          <w:i/>
          <w:iCs/>
          <w:color w:val="808080"/>
          <w:sz w:val="20"/>
          <w:szCs w:val="20"/>
        </w:rPr>
        <w:t xml:space="preserve">   </w:t>
      </w:r>
    </w:p>
    <w:p w14:paraId="491996AE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 xml:space="preserve">Ng, D. T. K., Wu, W., Leung, J. K. L., Chiu, T. K. F., &amp; Chu, S. K. W. (2024). Design and validation of the AI literacy questionnaire: The affective, </w:t>
      </w:r>
      <w:proofErr w:type="spellStart"/>
      <w:r>
        <w:rPr>
          <w:rFonts w:ascii="Calibri" w:eastAsia="Calibri" w:hAnsi="Calibri" w:cs="Calibri"/>
          <w:sz w:val="20"/>
          <w:szCs w:val="20"/>
        </w:rPr>
        <w:t>behavioural</w:t>
      </w:r>
      <w:proofErr w:type="spellEnd"/>
      <w:r>
        <w:rPr>
          <w:rFonts w:ascii="Calibri" w:eastAsia="Calibri" w:hAnsi="Calibri" w:cs="Calibri"/>
          <w:sz w:val="20"/>
          <w:szCs w:val="20"/>
        </w:rPr>
        <w:t>, cognitive and ethical approach. British Journal of Educational Technology, 55(3), 1082–1104. https://doi.org/10.1111/bjet.13411</w:t>
      </w:r>
    </w:p>
    <w:p w14:paraId="491996AF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Ng, D. T. K., Lee, M., Tan, R. J. Y., Hu, X., Downie, J. S., &amp; Chu, S. K. W. (2023). A review of AI teaching and learning from 2000 to 2020. Education and Information Technologies, 28, 8445–8501. https://doi.org/10.1007/s10639-022-11491-w</w:t>
      </w:r>
    </w:p>
    <w:p w14:paraId="491996B0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 xml:space="preserve">Hwang, G. J., Xie, H., Wah, B. W., &amp; </w:t>
      </w:r>
      <w:proofErr w:type="spellStart"/>
      <w:r>
        <w:rPr>
          <w:rFonts w:ascii="Calibri" w:eastAsia="Calibri" w:hAnsi="Calibri" w:cs="Calibri"/>
          <w:sz w:val="20"/>
          <w:szCs w:val="20"/>
        </w:rPr>
        <w:t>Gašević</w:t>
      </w:r>
      <w:proofErr w:type="spellEnd"/>
      <w:r>
        <w:rPr>
          <w:rFonts w:ascii="Calibri" w:eastAsia="Calibri" w:hAnsi="Calibri" w:cs="Calibri"/>
          <w:sz w:val="20"/>
          <w:szCs w:val="20"/>
        </w:rPr>
        <w:t>, D. (2020). Vision, challenges, roles and research issues of artificial intelligence in education. Computers and Education: Artificial Intelligence, 1, 100001. https://doi.org/10.1016/j.caeai.2020.100001</w:t>
      </w:r>
    </w:p>
    <w:p w14:paraId="491996B1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Holmes, W., Bialik, M., &amp; Fadel, C. (2019). Artificial intelligence in education: Promises and implications for teaching and learning. Center for Curriculum Redesign.</w:t>
      </w:r>
    </w:p>
    <w:p w14:paraId="491996B2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Chen, L., Chen, P., &amp; Lin, Z. (2020). Artificial intelligence in education: A review. IEEE Access, 8, 75264–75278. https://doi.org/10.1109/ACCESS.2020.2988510</w:t>
      </w:r>
    </w:p>
    <w:p w14:paraId="491996B3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Chiu, T. K. F., Moorhouse, B. L., Chai, C. S., &amp; Ismailov, M. (2023). Teacher support and student motivation to learn with Artificial Intelligence (AI) based chatbot. Interactive Learning Environments, 32(7), 1–17. https://doi.org/10.1080/10494820.2023.2172044</w:t>
      </w:r>
    </w:p>
    <w:p w14:paraId="491996B4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Ng, D. T. K., Tan, C. W., &amp; Leung, J. K. L. (2024). Empowering student self-regulated learning and science education through ChatGPT: A pioneering pilot study. British Journal of Educational Technology, 55(4), 1378–1402. https://doi.org/10.1111/bjet.13454</w:t>
      </w:r>
    </w:p>
    <w:p w14:paraId="491996B5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 xml:space="preserve">Long, D., &amp; </w:t>
      </w:r>
      <w:proofErr w:type="spellStart"/>
      <w:r>
        <w:rPr>
          <w:rFonts w:ascii="Calibri" w:eastAsia="Calibri" w:hAnsi="Calibri" w:cs="Calibri"/>
          <w:sz w:val="20"/>
          <w:szCs w:val="20"/>
        </w:rPr>
        <w:t>Magerko</w:t>
      </w:r>
      <w:proofErr w:type="spellEnd"/>
      <w:r>
        <w:rPr>
          <w:rFonts w:ascii="Calibri" w:eastAsia="Calibri" w:hAnsi="Calibri" w:cs="Calibri"/>
          <w:sz w:val="20"/>
          <w:szCs w:val="20"/>
        </w:rPr>
        <w:t>, B. (2020). What is AI literacy? Competencies and design considerations. Proceedings of the 2020 CHI Conference on Human Factors in Computing Systems, 1–16. https://doi.org/10.1145/3313831.3376727</w:t>
      </w:r>
    </w:p>
    <w:p w14:paraId="491996B6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 xml:space="preserve">Wang, B., Rau, P. L. P., &amp; Yuan, T. (2023). Measuring user competence in using artificial intelligence: Validity and reliability of an artificial intelligence literacy scale. </w:t>
      </w:r>
      <w:proofErr w:type="spellStart"/>
      <w:r>
        <w:rPr>
          <w:rFonts w:ascii="Calibri" w:eastAsia="Calibri" w:hAnsi="Calibri" w:cs="Calibri"/>
          <w:sz w:val="20"/>
          <w:szCs w:val="20"/>
        </w:rPr>
        <w:t>Behaviour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&amp; Information Technology, 42(9), 1324–1337. https://doi.org/10.1080/0144929X.2022.2072768</w:t>
      </w:r>
    </w:p>
    <w:p w14:paraId="491996B7" w14:textId="77777777" w:rsidR="00EF4DDC" w:rsidRDefault="00EF4DDC">
      <w:pPr>
        <w:pageBreakBefore/>
      </w:pPr>
    </w:p>
    <w:p w14:paraId="491996B8" w14:textId="77777777" w:rsidR="00EF4DDC" w:rsidRDefault="00000000">
      <w:pPr>
        <w:pStyle w:val="1"/>
      </w:pPr>
      <w:r>
        <w:t>7. 物理 / 工程基礎理論文獻</w:t>
      </w:r>
    </w:p>
    <w:p w14:paraId="491996B9" w14:textId="77777777" w:rsidR="00EF4DDC" w:rsidRDefault="00000000">
      <w:pPr>
        <w:pStyle w:val="2"/>
      </w:pPr>
      <w:r>
        <w:t>Physics &amp; Engineering Foundations (本模擬之物理理論依據)</w:t>
      </w:r>
      <w:r>
        <w:rPr>
          <w:rFonts w:ascii="Calibri" w:eastAsia="Calibri" w:hAnsi="Calibri" w:cs="Calibri"/>
          <w:i/>
          <w:iCs/>
          <w:color w:val="808080"/>
          <w:sz w:val="20"/>
          <w:szCs w:val="20"/>
        </w:rPr>
        <w:t xml:space="preserve">   </w:t>
      </w:r>
    </w:p>
    <w:p w14:paraId="491996BA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 xml:space="preserve">Marckmann, G., &amp; Verron, E. (2006). Comparison of </w:t>
      </w:r>
      <w:proofErr w:type="spellStart"/>
      <w:r>
        <w:rPr>
          <w:rFonts w:ascii="Calibri" w:eastAsia="Calibri" w:hAnsi="Calibri" w:cs="Calibri"/>
          <w:sz w:val="20"/>
          <w:szCs w:val="20"/>
        </w:rPr>
        <w:t>hyperelastic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models for rubber-like materials. Rubber Chemistry and Technology, 79(5), 835–858. https://doi.org/10.5254/1.3547969</w:t>
      </w:r>
    </w:p>
    <w:p w14:paraId="491996BB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Mooney, M. (1940). A theory of large elastic deformation. Journal of Applied Physics, 11(9), 582–592. https://doi.org/10.1063/1.1712836</w:t>
      </w:r>
    </w:p>
    <w:p w14:paraId="491996BC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Rivlin, R. S. (1948). Large elastic deformations of isotropic materials. IV. Further developments of the general theory. Philosophical Transactions of the Royal Society A, 241(835), 379–397. https://doi.org/10.1098/rsta.1948.0024</w:t>
      </w:r>
    </w:p>
    <w:p w14:paraId="491996BD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Gent, A. N. (1996). A new constitutive relation for rubber. Rubber Chemistry and Technology, 69(1), 59–61. https://doi.org/10.5254/1.3538357</w:t>
      </w:r>
    </w:p>
    <w:p w14:paraId="491996BE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 xml:space="preserve">Pucci, E., &amp; </w:t>
      </w:r>
      <w:proofErr w:type="spellStart"/>
      <w:r>
        <w:rPr>
          <w:rFonts w:ascii="Calibri" w:eastAsia="Calibri" w:hAnsi="Calibri" w:cs="Calibri"/>
          <w:sz w:val="20"/>
          <w:szCs w:val="20"/>
        </w:rPr>
        <w:t>Saccomandi</w:t>
      </w:r>
      <w:proofErr w:type="spellEnd"/>
      <w:r>
        <w:rPr>
          <w:rFonts w:ascii="Calibri" w:eastAsia="Calibri" w:hAnsi="Calibri" w:cs="Calibri"/>
          <w:sz w:val="20"/>
          <w:szCs w:val="20"/>
        </w:rPr>
        <w:t>, G. (2002). A note on the Gent model for rubber-like materials. Rubber Chemistry and Technology, 75(5), 839–852. https://doi.org/10.5254/1.3547687</w:t>
      </w:r>
    </w:p>
    <w:p w14:paraId="491996BF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Treloar, L. R. G. (1975). The physics of rubber elasticity (3rd ed.). Oxford University Press.</w:t>
      </w:r>
    </w:p>
    <w:p w14:paraId="491996C0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Lautrup, B. (2005). Physics of continuous matter: Exotic and everyday phenomena in the macroscopic world. Institute of Physics Publishing.</w:t>
      </w:r>
    </w:p>
    <w:p w14:paraId="491996C1" w14:textId="77777777" w:rsidR="00EF4DDC" w:rsidRDefault="00EF4DDC">
      <w:pPr>
        <w:pageBreakBefore/>
      </w:pPr>
    </w:p>
    <w:p w14:paraId="491996C2" w14:textId="77777777" w:rsidR="00EF4DDC" w:rsidRDefault="00000000">
      <w:pPr>
        <w:pStyle w:val="1"/>
      </w:pPr>
      <w:r>
        <w:t>8. 相關方法學工具</w:t>
      </w:r>
    </w:p>
    <w:p w14:paraId="491996C3" w14:textId="77777777" w:rsidR="00EF4DDC" w:rsidRDefault="00000000">
      <w:pPr>
        <w:pStyle w:val="2"/>
      </w:pPr>
      <w:r>
        <w:t>Methodological Tools</w:t>
      </w:r>
      <w:r>
        <w:rPr>
          <w:rFonts w:ascii="Calibri" w:eastAsia="Calibri" w:hAnsi="Calibri" w:cs="Calibri"/>
          <w:i/>
          <w:iCs/>
          <w:color w:val="808080"/>
          <w:sz w:val="20"/>
          <w:szCs w:val="20"/>
        </w:rPr>
        <w:t xml:space="preserve">   </w:t>
      </w:r>
    </w:p>
    <w:p w14:paraId="491996C4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Likert, R. (1932). A technique for the measurement of attitudes. Archives of Psychology, 22(140), 5–55.</w:t>
      </w:r>
    </w:p>
    <w:p w14:paraId="491996C5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DeVellis, R. F. (2017). Scale development: Theory and applications (4th ed.). SAGE Publications.</w:t>
      </w:r>
    </w:p>
    <w:p w14:paraId="491996C6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Hair, J. F., Black, W. C., Babin, B. J., &amp; Anderson, R. E. (2019). Multivariate data analysis (8th ed.). Cengage Learning.</w:t>
      </w:r>
    </w:p>
    <w:p w14:paraId="491996C7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Cronbach, L. J. (1951). Coefficient alpha and the internal structure of tests. Psychometrika, 16(3), 297–334. https://doi.org/10.1007/BF02310555</w:t>
      </w:r>
    </w:p>
    <w:p w14:paraId="491996C8" w14:textId="77777777" w:rsidR="00EF4DDC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American Educational Research Association, American Psychological Association, &amp; National Council on Measurement in Education. (2014). Standards for educational and psychological testing. AERA.</w:t>
      </w:r>
    </w:p>
    <w:p w14:paraId="491996C9" w14:textId="77777777" w:rsidR="00EF4DDC" w:rsidRDefault="00EF4DDC">
      <w:pPr>
        <w:pageBreakBefore/>
      </w:pPr>
    </w:p>
    <w:p w14:paraId="491996CA" w14:textId="77777777" w:rsidR="00EF4DDC" w:rsidRDefault="00000000">
      <w:pPr>
        <w:pStyle w:val="1"/>
      </w:pPr>
      <w:r>
        <w:t>引用對應總表</w:t>
      </w:r>
    </w:p>
    <w:p w14:paraId="491996CB" w14:textId="77777777" w:rsidR="00EF4DDC" w:rsidRDefault="00000000">
      <w:pPr>
        <w:spacing w:before="60" w:after="100" w:line="320" w:lineRule="auto"/>
      </w:pPr>
      <w:r>
        <w:t>以下對應表協助你將問卷中各題的「〔出處：…〕」標註，快速找到本清單對應的完整文獻。</w:t>
      </w:r>
    </w:p>
    <w:p w14:paraId="491996CC" w14:textId="77777777" w:rsidR="00EF4DDC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200"/>
        <w:gridCol w:w="3560"/>
      </w:tblGrid>
      <w:tr w:rsidR="00EF4DDC" w14:paraId="491996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CD" w14:textId="77777777" w:rsidR="00EF4DD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問卷題號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CE" w14:textId="77777777" w:rsidR="00EF4DD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主要文獻 / 引用代號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CF" w14:textId="77777777" w:rsidR="00EF4DD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理論面向</w:t>
            </w:r>
          </w:p>
        </w:tc>
      </w:tr>
      <w:tr w:rsidR="00EF4DDC" w14:paraId="491996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D1" w14:textId="77777777" w:rsidR="00EF4DDC" w:rsidRDefault="00000000">
            <w:r>
              <w:rPr>
                <w:color w:val="000000"/>
                <w:sz w:val="18"/>
                <w:szCs w:val="18"/>
              </w:rPr>
              <w:t>B1–B6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D2" w14:textId="77777777" w:rsidR="00EF4DDC" w:rsidRDefault="00000000">
            <w:r>
              <w:rPr>
                <w:color w:val="000000"/>
                <w:sz w:val="18"/>
                <w:szCs w:val="18"/>
              </w:rPr>
              <w:t>Krell &amp; Krüger (2016)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D3" w14:textId="77777777" w:rsidR="00EF4DDC" w:rsidRDefault="00000000">
            <w:r>
              <w:rPr>
                <w:color w:val="000000"/>
                <w:sz w:val="18"/>
                <w:szCs w:val="18"/>
              </w:rPr>
              <w:t>建模五面向</w:t>
            </w:r>
          </w:p>
        </w:tc>
      </w:tr>
      <w:tr w:rsidR="00EF4DDC" w14:paraId="491996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D5" w14:textId="77777777" w:rsidR="00EF4DDC" w:rsidRDefault="00000000">
            <w:r>
              <w:rPr>
                <w:color w:val="000000"/>
                <w:sz w:val="18"/>
                <w:szCs w:val="18"/>
              </w:rPr>
              <w:t>B7–B8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D6" w14:textId="77777777" w:rsidR="00EF4DDC" w:rsidRDefault="00000000">
            <w:r>
              <w:rPr>
                <w:color w:val="000000"/>
                <w:sz w:val="18"/>
                <w:szCs w:val="18"/>
              </w:rPr>
              <w:t>Schwarz et al. (2009)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D7" w14:textId="77777777" w:rsidR="00EF4DDC" w:rsidRDefault="00000000">
            <w:r>
              <w:rPr>
                <w:color w:val="000000"/>
                <w:sz w:val="18"/>
                <w:szCs w:val="18"/>
              </w:rPr>
              <w:t>建模學習進程</w:t>
            </w:r>
          </w:p>
        </w:tc>
      </w:tr>
      <w:tr w:rsidR="00EF4DDC" w14:paraId="491996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D9" w14:textId="77777777" w:rsidR="00EF4DDC" w:rsidRDefault="00000000">
            <w:r>
              <w:rPr>
                <w:color w:val="000000"/>
                <w:sz w:val="18"/>
                <w:szCs w:val="18"/>
              </w:rPr>
              <w:t>B9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DA" w14:textId="77777777" w:rsidR="00EF4DDC" w:rsidRDefault="00000000">
            <w:proofErr w:type="spellStart"/>
            <w:r>
              <w:rPr>
                <w:color w:val="000000"/>
                <w:sz w:val="18"/>
                <w:szCs w:val="18"/>
              </w:rPr>
              <w:t>Upmeier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zu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Belzen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et al. (2019)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DB" w14:textId="77777777" w:rsidR="00EF4DDC" w:rsidRDefault="00000000">
            <w:r>
              <w:rPr>
                <w:color w:val="000000"/>
                <w:sz w:val="18"/>
                <w:szCs w:val="18"/>
              </w:rPr>
              <w:t>建模能力理論框架</w:t>
            </w:r>
          </w:p>
        </w:tc>
      </w:tr>
      <w:tr w:rsidR="00EF4DDC" w14:paraId="491996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DD" w14:textId="77777777" w:rsidR="00EF4DDC" w:rsidRDefault="00000000">
            <w:r>
              <w:rPr>
                <w:color w:val="000000"/>
                <w:sz w:val="18"/>
                <w:szCs w:val="18"/>
              </w:rPr>
              <w:t>B10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DE" w14:textId="77777777" w:rsidR="00EF4DDC" w:rsidRDefault="00000000">
            <w:r>
              <w:rPr>
                <w:color w:val="000000"/>
                <w:sz w:val="18"/>
                <w:szCs w:val="18"/>
              </w:rPr>
              <w:t>Thomas et al. (2008) – SEMLI-S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DF" w14:textId="77777777" w:rsidR="00EF4DDC" w:rsidRDefault="00000000">
            <w:r>
              <w:rPr>
                <w:color w:val="000000"/>
                <w:sz w:val="18"/>
                <w:szCs w:val="18"/>
              </w:rPr>
              <w:t>後設認知監控</w:t>
            </w:r>
          </w:p>
        </w:tc>
      </w:tr>
      <w:tr w:rsidR="00EF4DDC" w14:paraId="491996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E1" w14:textId="77777777" w:rsidR="00EF4DDC" w:rsidRDefault="00000000">
            <w:r>
              <w:rPr>
                <w:color w:val="000000"/>
                <w:sz w:val="18"/>
                <w:szCs w:val="18"/>
              </w:rPr>
              <w:t>B11–B12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E2" w14:textId="77777777" w:rsidR="00EF4DDC" w:rsidRDefault="00000000">
            <w:r>
              <w:rPr>
                <w:color w:val="000000"/>
                <w:sz w:val="18"/>
                <w:szCs w:val="18"/>
              </w:rPr>
              <w:t>Schraw &amp; Dennison (1994) – MAI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E3" w14:textId="77777777" w:rsidR="00EF4DDC" w:rsidRDefault="00000000">
            <w:r>
              <w:rPr>
                <w:color w:val="000000"/>
                <w:sz w:val="18"/>
                <w:szCs w:val="18"/>
              </w:rPr>
              <w:t>後設認知計劃 / 評估</w:t>
            </w:r>
          </w:p>
        </w:tc>
      </w:tr>
      <w:tr w:rsidR="00EF4DDC" w14:paraId="491996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E5" w14:textId="77777777" w:rsidR="00EF4DDC" w:rsidRDefault="00000000">
            <w:r>
              <w:rPr>
                <w:color w:val="000000"/>
                <w:sz w:val="18"/>
                <w:szCs w:val="18"/>
              </w:rPr>
              <w:t>C1, C5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E6" w14:textId="77777777" w:rsidR="00EF4DDC" w:rsidRDefault="00000000">
            <w:r>
              <w:rPr>
                <w:color w:val="000000"/>
                <w:sz w:val="18"/>
                <w:szCs w:val="18"/>
              </w:rPr>
              <w:t>Hestenes (1996); Smith et al. (1993)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E7" w14:textId="77777777" w:rsidR="00EF4DDC" w:rsidRDefault="00000000">
            <w:r>
              <w:rPr>
                <w:color w:val="000000"/>
                <w:sz w:val="18"/>
                <w:szCs w:val="18"/>
              </w:rPr>
              <w:t>迷思 / 模型方法論</w:t>
            </w:r>
          </w:p>
        </w:tc>
      </w:tr>
      <w:tr w:rsidR="00EF4DDC" w14:paraId="491996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E9" w14:textId="77777777" w:rsidR="00EF4DDC" w:rsidRDefault="00000000">
            <w:r>
              <w:rPr>
                <w:color w:val="000000"/>
                <w:sz w:val="18"/>
                <w:szCs w:val="18"/>
              </w:rPr>
              <w:t>C2–C3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EA" w14:textId="77777777" w:rsidR="00EF4DDC" w:rsidRDefault="00000000">
            <w:r>
              <w:rPr>
                <w:color w:val="000000"/>
                <w:sz w:val="18"/>
                <w:szCs w:val="18"/>
              </w:rPr>
              <w:t>Marckmann &amp; Verron (2006); Gent (1996)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EB" w14:textId="77777777" w:rsidR="00EF4DDC" w:rsidRDefault="00000000">
            <w:r>
              <w:rPr>
                <w:color w:val="000000"/>
                <w:sz w:val="18"/>
                <w:szCs w:val="18"/>
              </w:rPr>
              <w:t>本模擬橡膠模型適用範圍</w:t>
            </w:r>
          </w:p>
        </w:tc>
      </w:tr>
      <w:tr w:rsidR="00EF4DDC" w14:paraId="491996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ED" w14:textId="77777777" w:rsidR="00EF4DDC" w:rsidRDefault="00000000">
            <w:r>
              <w:rPr>
                <w:color w:val="000000"/>
                <w:sz w:val="18"/>
                <w:szCs w:val="18"/>
              </w:rPr>
              <w:t>C4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EE" w14:textId="77777777" w:rsidR="00EF4DDC" w:rsidRDefault="00000000">
            <w:r>
              <w:rPr>
                <w:color w:val="000000"/>
                <w:sz w:val="18"/>
                <w:szCs w:val="18"/>
              </w:rPr>
              <w:t>Lederman et al. (2002) – VNOS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EF" w14:textId="77777777" w:rsidR="00EF4DDC" w:rsidRDefault="00000000">
            <w:r>
              <w:rPr>
                <w:color w:val="000000"/>
                <w:sz w:val="18"/>
                <w:szCs w:val="18"/>
              </w:rPr>
              <w:t xml:space="preserve">暫時性 </w:t>
            </w:r>
            <w:proofErr w:type="spellStart"/>
            <w:r>
              <w:rPr>
                <w:color w:val="000000"/>
                <w:sz w:val="18"/>
                <w:szCs w:val="18"/>
              </w:rPr>
              <w:t>NoS</w:t>
            </w:r>
            <w:proofErr w:type="spellEnd"/>
          </w:p>
        </w:tc>
      </w:tr>
      <w:tr w:rsidR="00EF4DDC" w14:paraId="491996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F1" w14:textId="77777777" w:rsidR="00EF4DDC" w:rsidRDefault="00000000">
            <w:r>
              <w:rPr>
                <w:color w:val="000000"/>
                <w:sz w:val="18"/>
                <w:szCs w:val="18"/>
              </w:rPr>
              <w:t>C6, C8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F2" w14:textId="77777777" w:rsidR="00EF4DDC" w:rsidRDefault="00000000">
            <w:r>
              <w:rPr>
                <w:color w:val="000000"/>
                <w:sz w:val="18"/>
                <w:szCs w:val="18"/>
              </w:rPr>
              <w:t>Schwarz et al. (2009); Halloun (2007)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F3" w14:textId="77777777" w:rsidR="00EF4DDC" w:rsidRDefault="00000000">
            <w:r>
              <w:rPr>
                <w:color w:val="000000"/>
                <w:sz w:val="18"/>
                <w:szCs w:val="18"/>
              </w:rPr>
              <w:t>模型限制 / 假設</w:t>
            </w:r>
          </w:p>
        </w:tc>
      </w:tr>
      <w:tr w:rsidR="00EF4DDC" w14:paraId="491996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F5" w14:textId="77777777" w:rsidR="00EF4DDC" w:rsidRDefault="00000000">
            <w:r>
              <w:rPr>
                <w:color w:val="000000"/>
                <w:sz w:val="18"/>
                <w:szCs w:val="18"/>
              </w:rPr>
              <w:t>C7, C9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F6" w14:textId="77777777" w:rsidR="00EF4DDC" w:rsidRDefault="00000000">
            <w:r>
              <w:rPr>
                <w:color w:val="000000"/>
                <w:sz w:val="18"/>
                <w:szCs w:val="18"/>
              </w:rPr>
              <w:t>Hestenes (1992); Justi &amp; Gilbert (2002)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F7" w14:textId="77777777" w:rsidR="00EF4DDC" w:rsidRDefault="00000000">
            <w:r>
              <w:rPr>
                <w:color w:val="000000"/>
                <w:sz w:val="18"/>
                <w:szCs w:val="18"/>
              </w:rPr>
              <w:t>模型轉移 / 教師觀</w:t>
            </w:r>
          </w:p>
        </w:tc>
      </w:tr>
      <w:tr w:rsidR="00EF4DDC" w14:paraId="491996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F9" w14:textId="77777777" w:rsidR="00EF4DDC" w:rsidRDefault="00000000">
            <w:r>
              <w:rPr>
                <w:color w:val="000000"/>
                <w:sz w:val="18"/>
                <w:szCs w:val="18"/>
              </w:rPr>
              <w:t>D1–D6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FA" w14:textId="77777777" w:rsidR="00EF4DDC" w:rsidRDefault="00000000">
            <w:proofErr w:type="spellStart"/>
            <w:r>
              <w:rPr>
                <w:color w:val="000000"/>
                <w:sz w:val="18"/>
                <w:szCs w:val="18"/>
              </w:rPr>
              <w:t>Pedaste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et al. (2015)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FB" w14:textId="77777777" w:rsidR="00EF4DDC" w:rsidRDefault="00000000">
            <w:r>
              <w:rPr>
                <w:color w:val="000000"/>
                <w:sz w:val="18"/>
                <w:szCs w:val="18"/>
              </w:rPr>
              <w:t>探究五階段</w:t>
            </w:r>
          </w:p>
        </w:tc>
      </w:tr>
      <w:tr w:rsidR="00EF4DDC" w14:paraId="491997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FD" w14:textId="77777777" w:rsidR="00EF4DDC" w:rsidRDefault="00000000">
            <w:r>
              <w:rPr>
                <w:color w:val="000000"/>
                <w:sz w:val="18"/>
                <w:szCs w:val="18"/>
              </w:rPr>
              <w:t>D7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FE" w14:textId="77777777" w:rsidR="00EF4DDC" w:rsidRDefault="00000000">
            <w:r>
              <w:rPr>
                <w:color w:val="000000"/>
                <w:sz w:val="18"/>
                <w:szCs w:val="18"/>
              </w:rPr>
              <w:t>Furtak et al. (2012)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6FF" w14:textId="77777777" w:rsidR="00EF4DDC" w:rsidRDefault="00000000">
            <w:r>
              <w:rPr>
                <w:color w:val="000000"/>
                <w:sz w:val="18"/>
                <w:szCs w:val="18"/>
              </w:rPr>
              <w:t>探究教學後設</w:t>
            </w:r>
          </w:p>
        </w:tc>
      </w:tr>
      <w:tr w:rsidR="00EF4DDC" w14:paraId="491997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01" w14:textId="77777777" w:rsidR="00EF4DDC" w:rsidRDefault="00000000">
            <w:r>
              <w:rPr>
                <w:color w:val="000000"/>
                <w:sz w:val="18"/>
                <w:szCs w:val="18"/>
              </w:rPr>
              <w:t>D8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02" w14:textId="77777777" w:rsidR="00EF4DDC" w:rsidRDefault="00000000">
            <w:r>
              <w:rPr>
                <w:color w:val="000000"/>
                <w:sz w:val="18"/>
                <w:szCs w:val="18"/>
              </w:rPr>
              <w:t>Minner et al. (2010)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03" w14:textId="77777777" w:rsidR="00EF4DDC" w:rsidRDefault="00000000">
            <w:r>
              <w:rPr>
                <w:color w:val="000000"/>
                <w:sz w:val="18"/>
                <w:szCs w:val="18"/>
              </w:rPr>
              <w:t>探究 vs 講授成效</w:t>
            </w:r>
          </w:p>
        </w:tc>
      </w:tr>
      <w:tr w:rsidR="00EF4DDC" w14:paraId="491997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05" w14:textId="77777777" w:rsidR="00EF4DDC" w:rsidRDefault="00000000">
            <w:r>
              <w:rPr>
                <w:color w:val="000000"/>
                <w:sz w:val="18"/>
                <w:szCs w:val="18"/>
              </w:rPr>
              <w:t>D9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06" w14:textId="77777777" w:rsidR="00EF4DDC" w:rsidRDefault="00000000">
            <w:r>
              <w:rPr>
                <w:color w:val="000000"/>
                <w:sz w:val="18"/>
                <w:szCs w:val="18"/>
              </w:rPr>
              <w:t>Bell et al. (2010)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07" w14:textId="77777777" w:rsidR="00EF4DDC" w:rsidRDefault="00000000">
            <w:r>
              <w:rPr>
                <w:color w:val="000000"/>
                <w:sz w:val="18"/>
                <w:szCs w:val="18"/>
              </w:rPr>
              <w:t>合作探究</w:t>
            </w:r>
          </w:p>
        </w:tc>
      </w:tr>
      <w:tr w:rsidR="00EF4DDC" w14:paraId="491997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09" w14:textId="77777777" w:rsidR="00EF4DDC" w:rsidRDefault="00000000">
            <w:r>
              <w:rPr>
                <w:color w:val="000000"/>
                <w:sz w:val="18"/>
                <w:szCs w:val="18"/>
              </w:rPr>
              <w:t>D10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0A" w14:textId="77777777" w:rsidR="00EF4DDC" w:rsidRDefault="00000000">
            <w:proofErr w:type="spellStart"/>
            <w:r>
              <w:rPr>
                <w:color w:val="000000"/>
                <w:sz w:val="18"/>
                <w:szCs w:val="18"/>
              </w:rPr>
              <w:t>Lazonder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Harmsen (2016)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0B" w14:textId="77777777" w:rsidR="00EF4DDC" w:rsidRDefault="00000000">
            <w:r>
              <w:rPr>
                <w:color w:val="000000"/>
                <w:sz w:val="18"/>
                <w:szCs w:val="18"/>
              </w:rPr>
              <w:t>引導式探究</w:t>
            </w:r>
          </w:p>
        </w:tc>
      </w:tr>
      <w:tr w:rsidR="00EF4DDC" w14:paraId="491997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0D" w14:textId="77777777" w:rsidR="00EF4DDC" w:rsidRDefault="00000000">
            <w:r>
              <w:rPr>
                <w:color w:val="000000"/>
                <w:sz w:val="18"/>
                <w:szCs w:val="18"/>
              </w:rPr>
              <w:t>D11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0E" w14:textId="77777777" w:rsidR="00EF4DDC" w:rsidRDefault="00000000">
            <w:r>
              <w:rPr>
                <w:color w:val="000000"/>
                <w:sz w:val="18"/>
                <w:szCs w:val="18"/>
              </w:rPr>
              <w:t>NRC (2013) – NGSS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0F" w14:textId="77777777" w:rsidR="00EF4DDC" w:rsidRDefault="00000000">
            <w:r>
              <w:rPr>
                <w:color w:val="000000"/>
                <w:sz w:val="18"/>
                <w:szCs w:val="18"/>
              </w:rPr>
              <w:t>科學實踐</w:t>
            </w:r>
          </w:p>
        </w:tc>
      </w:tr>
      <w:tr w:rsidR="00EF4DDC" w14:paraId="491997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11" w14:textId="77777777" w:rsidR="00EF4DDC" w:rsidRDefault="00000000">
            <w:r>
              <w:rPr>
                <w:color w:val="000000"/>
                <w:sz w:val="18"/>
                <w:szCs w:val="18"/>
              </w:rPr>
              <w:t>E1, E8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12" w14:textId="77777777" w:rsidR="00EF4DDC" w:rsidRDefault="00000000">
            <w:r>
              <w:rPr>
                <w:color w:val="000000"/>
                <w:sz w:val="18"/>
                <w:szCs w:val="18"/>
              </w:rPr>
              <w:t xml:space="preserve">de Jong et al. (2013); de Jong &amp; van </w:t>
            </w:r>
            <w:proofErr w:type="spellStart"/>
            <w:r>
              <w:rPr>
                <w:color w:val="000000"/>
                <w:sz w:val="18"/>
                <w:szCs w:val="18"/>
              </w:rPr>
              <w:t>Joolingen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(1998)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13" w14:textId="77777777" w:rsidR="00EF4DDC" w:rsidRDefault="00000000">
            <w:r>
              <w:rPr>
                <w:color w:val="000000"/>
                <w:sz w:val="18"/>
                <w:szCs w:val="18"/>
              </w:rPr>
              <w:t>虛擬實驗 / 探索</w:t>
            </w:r>
          </w:p>
        </w:tc>
      </w:tr>
      <w:tr w:rsidR="00EF4DDC" w14:paraId="491997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15" w14:textId="77777777" w:rsidR="00EF4DDC" w:rsidRDefault="00000000">
            <w:r>
              <w:rPr>
                <w:color w:val="000000"/>
                <w:sz w:val="18"/>
                <w:szCs w:val="18"/>
              </w:rPr>
              <w:t>E2, E7, E10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16" w14:textId="77777777" w:rsidR="00EF4DDC" w:rsidRDefault="00000000">
            <w:r>
              <w:rPr>
                <w:color w:val="000000"/>
                <w:sz w:val="18"/>
                <w:szCs w:val="18"/>
              </w:rPr>
              <w:t>Smetana &amp; Bell (2012)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17" w14:textId="77777777" w:rsidR="00EF4DDC" w:rsidRDefault="00000000">
            <w:r>
              <w:rPr>
                <w:color w:val="000000"/>
                <w:sz w:val="18"/>
                <w:szCs w:val="18"/>
              </w:rPr>
              <w:t>模擬概念變化</w:t>
            </w:r>
          </w:p>
        </w:tc>
      </w:tr>
      <w:tr w:rsidR="00EF4DDC" w14:paraId="491997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19" w14:textId="77777777" w:rsidR="00EF4DDC" w:rsidRDefault="00000000">
            <w:r>
              <w:rPr>
                <w:color w:val="000000"/>
                <w:sz w:val="18"/>
                <w:szCs w:val="18"/>
              </w:rPr>
              <w:t>E3, E6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1A" w14:textId="77777777" w:rsidR="00EF4DDC" w:rsidRDefault="00000000">
            <w:r>
              <w:rPr>
                <w:color w:val="000000"/>
                <w:sz w:val="18"/>
                <w:szCs w:val="18"/>
              </w:rPr>
              <w:t>Wieman et al. (2008); Wieman &amp; Perkins (2006)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1B" w14:textId="77777777" w:rsidR="00EF4DDC" w:rsidRDefault="00000000">
            <w:proofErr w:type="spellStart"/>
            <w:r>
              <w:rPr>
                <w:color w:val="000000"/>
                <w:sz w:val="18"/>
                <w:szCs w:val="18"/>
              </w:rPr>
              <w:t>PhET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學習感知</w:t>
            </w:r>
          </w:p>
        </w:tc>
      </w:tr>
      <w:tr w:rsidR="00EF4DDC" w14:paraId="491997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1D" w14:textId="77777777" w:rsidR="00EF4DDC" w:rsidRDefault="00000000">
            <w:r>
              <w:rPr>
                <w:color w:val="000000"/>
                <w:sz w:val="18"/>
                <w:szCs w:val="18"/>
              </w:rPr>
              <w:t>E4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1E" w14:textId="77777777" w:rsidR="00EF4DDC" w:rsidRDefault="00000000">
            <w:r>
              <w:rPr>
                <w:color w:val="000000"/>
                <w:sz w:val="18"/>
                <w:szCs w:val="18"/>
              </w:rPr>
              <w:t>Rutten et al. (2012)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1F" w14:textId="77777777" w:rsidR="00EF4DDC" w:rsidRDefault="00000000">
            <w:r>
              <w:rPr>
                <w:color w:val="000000"/>
                <w:sz w:val="18"/>
                <w:szCs w:val="18"/>
              </w:rPr>
              <w:t>模擬學習效應</w:t>
            </w:r>
          </w:p>
        </w:tc>
      </w:tr>
      <w:tr w:rsidR="00EF4DDC" w14:paraId="491997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21" w14:textId="77777777" w:rsidR="00EF4DDC" w:rsidRDefault="00000000">
            <w:r>
              <w:rPr>
                <w:color w:val="000000"/>
                <w:sz w:val="18"/>
                <w:szCs w:val="18"/>
              </w:rPr>
              <w:t>E5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22" w14:textId="77777777" w:rsidR="00EF4DDC" w:rsidRDefault="00000000">
            <w:r>
              <w:rPr>
                <w:color w:val="000000"/>
                <w:sz w:val="18"/>
                <w:szCs w:val="18"/>
              </w:rPr>
              <w:t>Ainsworth (2006)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23" w14:textId="77777777" w:rsidR="00EF4DDC" w:rsidRDefault="00000000">
            <w:r>
              <w:rPr>
                <w:color w:val="000000"/>
                <w:sz w:val="18"/>
                <w:szCs w:val="18"/>
              </w:rPr>
              <w:t>多元表徵</w:t>
            </w:r>
          </w:p>
        </w:tc>
      </w:tr>
      <w:tr w:rsidR="00EF4DDC" w14:paraId="491997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25" w14:textId="77777777" w:rsidR="00EF4DDC" w:rsidRDefault="00000000">
            <w:r>
              <w:rPr>
                <w:color w:val="000000"/>
                <w:sz w:val="18"/>
                <w:szCs w:val="18"/>
              </w:rPr>
              <w:t>E9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26" w14:textId="77777777" w:rsidR="00EF4DDC" w:rsidRDefault="00000000">
            <w:r>
              <w:rPr>
                <w:color w:val="000000"/>
                <w:sz w:val="18"/>
                <w:szCs w:val="18"/>
              </w:rPr>
              <w:t>Chen et al. (2020)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27" w14:textId="77777777" w:rsidR="00EF4DDC" w:rsidRDefault="00000000">
            <w:r>
              <w:rPr>
                <w:color w:val="000000"/>
                <w:sz w:val="18"/>
                <w:szCs w:val="18"/>
              </w:rPr>
              <w:t>模擬投入度</w:t>
            </w:r>
          </w:p>
        </w:tc>
      </w:tr>
      <w:tr w:rsidR="00EF4DDC" w14:paraId="491997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29" w14:textId="77777777" w:rsidR="00EF4DDC" w:rsidRDefault="00000000">
            <w:r>
              <w:rPr>
                <w:color w:val="000000"/>
                <w:sz w:val="18"/>
                <w:szCs w:val="18"/>
              </w:rPr>
              <w:t>F1–F6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2A" w14:textId="77777777" w:rsidR="00EF4DDC" w:rsidRDefault="00000000">
            <w:r>
              <w:rPr>
                <w:color w:val="000000"/>
                <w:sz w:val="18"/>
                <w:szCs w:val="18"/>
              </w:rPr>
              <w:t>Barnard et al. (2009) – OSLQ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2B" w14:textId="77777777" w:rsidR="00EF4DDC" w:rsidRDefault="00000000">
            <w:r>
              <w:rPr>
                <w:color w:val="000000"/>
                <w:sz w:val="18"/>
                <w:szCs w:val="18"/>
              </w:rPr>
              <w:t>線上 SRL 六向度</w:t>
            </w:r>
          </w:p>
        </w:tc>
      </w:tr>
      <w:tr w:rsidR="00EF4DDC" w14:paraId="491997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2D" w14:textId="77777777" w:rsidR="00EF4DDC" w:rsidRDefault="00000000">
            <w:r>
              <w:rPr>
                <w:color w:val="000000"/>
                <w:sz w:val="18"/>
                <w:szCs w:val="18"/>
              </w:rPr>
              <w:lastRenderedPageBreak/>
              <w:t>F7–F8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2E" w14:textId="77777777" w:rsidR="00EF4DDC" w:rsidRDefault="00000000">
            <w:proofErr w:type="spellStart"/>
            <w:r>
              <w:rPr>
                <w:color w:val="000000"/>
                <w:sz w:val="18"/>
                <w:szCs w:val="18"/>
              </w:rPr>
              <w:t>Pintrich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(2004) – MSLQ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2F" w14:textId="77777777" w:rsidR="00EF4DDC" w:rsidRDefault="00000000">
            <w:r>
              <w:rPr>
                <w:color w:val="000000"/>
                <w:sz w:val="18"/>
                <w:szCs w:val="18"/>
              </w:rPr>
              <w:t>後設認知自我調節</w:t>
            </w:r>
          </w:p>
        </w:tc>
      </w:tr>
      <w:tr w:rsidR="00EF4DDC" w14:paraId="491997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31" w14:textId="77777777" w:rsidR="00EF4DDC" w:rsidRDefault="00000000">
            <w:r>
              <w:rPr>
                <w:color w:val="000000"/>
                <w:sz w:val="18"/>
                <w:szCs w:val="18"/>
              </w:rPr>
              <w:t>F9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32" w14:textId="77777777" w:rsidR="00EF4DDC" w:rsidRDefault="00000000">
            <w:r>
              <w:rPr>
                <w:color w:val="000000"/>
                <w:sz w:val="18"/>
                <w:szCs w:val="18"/>
              </w:rPr>
              <w:t>Zimmerman (2002)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33" w14:textId="77777777" w:rsidR="00EF4DDC" w:rsidRDefault="00000000">
            <w:r>
              <w:rPr>
                <w:color w:val="000000"/>
                <w:sz w:val="18"/>
                <w:szCs w:val="18"/>
              </w:rPr>
              <w:t>SRL 反思</w:t>
            </w:r>
          </w:p>
        </w:tc>
      </w:tr>
      <w:tr w:rsidR="00EF4DDC" w14:paraId="491997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35" w14:textId="77777777" w:rsidR="00EF4DDC" w:rsidRDefault="00000000">
            <w:r>
              <w:rPr>
                <w:color w:val="000000"/>
                <w:sz w:val="18"/>
                <w:szCs w:val="18"/>
              </w:rPr>
              <w:t>F10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36" w14:textId="77777777" w:rsidR="00EF4DDC" w:rsidRDefault="00000000">
            <w:r>
              <w:rPr>
                <w:color w:val="000000"/>
                <w:sz w:val="18"/>
                <w:szCs w:val="18"/>
              </w:rPr>
              <w:t>Jansen et al. (2017) – SRL-O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37" w14:textId="77777777" w:rsidR="00EF4DDC" w:rsidRDefault="00000000">
            <w:r>
              <w:rPr>
                <w:color w:val="000000"/>
                <w:sz w:val="18"/>
                <w:szCs w:val="18"/>
              </w:rPr>
              <w:t>SRL 策略</w:t>
            </w:r>
          </w:p>
        </w:tc>
      </w:tr>
      <w:tr w:rsidR="00EF4DDC" w14:paraId="491997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39" w14:textId="77777777" w:rsidR="00EF4DDC" w:rsidRDefault="00000000">
            <w:r>
              <w:rPr>
                <w:color w:val="000000"/>
                <w:sz w:val="18"/>
                <w:szCs w:val="18"/>
              </w:rPr>
              <w:t>G1–G5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3A" w14:textId="77777777" w:rsidR="00EF4DDC" w:rsidRDefault="00000000">
            <w:r>
              <w:rPr>
                <w:color w:val="000000"/>
                <w:sz w:val="18"/>
                <w:szCs w:val="18"/>
              </w:rPr>
              <w:t>Ng et al. (2024) – AILQ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3B" w14:textId="77777777" w:rsidR="00EF4DDC" w:rsidRDefault="00000000">
            <w:r>
              <w:rPr>
                <w:color w:val="000000"/>
                <w:sz w:val="18"/>
                <w:szCs w:val="18"/>
              </w:rPr>
              <w:t>AI 素養四向度</w:t>
            </w:r>
          </w:p>
        </w:tc>
      </w:tr>
      <w:tr w:rsidR="00EF4DDC" w14:paraId="491997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3D" w14:textId="77777777" w:rsidR="00EF4DDC" w:rsidRDefault="00000000">
            <w:r>
              <w:rPr>
                <w:color w:val="000000"/>
                <w:sz w:val="18"/>
                <w:szCs w:val="18"/>
              </w:rPr>
              <w:t>G6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3E" w14:textId="77777777" w:rsidR="00EF4DDC" w:rsidRDefault="00000000">
            <w:r>
              <w:rPr>
                <w:color w:val="000000"/>
                <w:sz w:val="18"/>
                <w:szCs w:val="18"/>
              </w:rPr>
              <w:t>Chiu et al. (2023)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3F" w14:textId="77777777" w:rsidR="00EF4DDC" w:rsidRDefault="00000000">
            <w:r>
              <w:rPr>
                <w:color w:val="000000"/>
                <w:sz w:val="18"/>
                <w:szCs w:val="18"/>
              </w:rPr>
              <w:t>AI 聊天機器人動機</w:t>
            </w:r>
          </w:p>
        </w:tc>
      </w:tr>
      <w:tr w:rsidR="00EF4DDC" w14:paraId="491997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41" w14:textId="77777777" w:rsidR="00EF4DDC" w:rsidRDefault="00000000">
            <w:r>
              <w:rPr>
                <w:color w:val="000000"/>
                <w:sz w:val="18"/>
                <w:szCs w:val="18"/>
              </w:rPr>
              <w:t>G7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42" w14:textId="77777777" w:rsidR="00EF4DDC" w:rsidRDefault="00000000">
            <w:r>
              <w:rPr>
                <w:color w:val="000000"/>
                <w:sz w:val="18"/>
                <w:szCs w:val="18"/>
              </w:rPr>
              <w:t>Hwang et al. (2020)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43" w14:textId="77777777" w:rsidR="00EF4DDC" w:rsidRDefault="00000000">
            <w:r>
              <w:rPr>
                <w:color w:val="000000"/>
                <w:sz w:val="18"/>
                <w:szCs w:val="18"/>
              </w:rPr>
              <w:t>教育 AI 整合</w:t>
            </w:r>
          </w:p>
        </w:tc>
      </w:tr>
      <w:tr w:rsidR="00EF4DDC" w14:paraId="491997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45" w14:textId="77777777" w:rsidR="00EF4DDC" w:rsidRDefault="00000000">
            <w:r>
              <w:rPr>
                <w:color w:val="000000"/>
                <w:sz w:val="18"/>
                <w:szCs w:val="18"/>
              </w:rPr>
              <w:t>G8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46" w14:textId="77777777" w:rsidR="00EF4DDC" w:rsidRDefault="00000000">
            <w:r>
              <w:rPr>
                <w:color w:val="000000"/>
                <w:sz w:val="18"/>
                <w:szCs w:val="18"/>
              </w:rPr>
              <w:t>Holmes et al. (2019)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747" w14:textId="77777777" w:rsidR="00EF4DDC" w:rsidRDefault="00000000">
            <w:r>
              <w:rPr>
                <w:color w:val="000000"/>
                <w:sz w:val="18"/>
                <w:szCs w:val="18"/>
              </w:rPr>
              <w:t>AIED 個人化</w:t>
            </w:r>
          </w:p>
        </w:tc>
      </w:tr>
    </w:tbl>
    <w:p w14:paraId="49199749" w14:textId="77777777" w:rsidR="00EF4DDC" w:rsidRDefault="00000000">
      <w:r>
        <w:t xml:space="preserve"> </w:t>
      </w:r>
    </w:p>
    <w:p w14:paraId="4919974A" w14:textId="77777777" w:rsidR="00EF4DDC" w:rsidRDefault="00000000">
      <w:pPr>
        <w:spacing w:before="40" w:after="80" w:line="280" w:lineRule="auto"/>
      </w:pPr>
      <w:r>
        <w:rPr>
          <w:i/>
          <w:iCs/>
          <w:color w:val="595959"/>
          <w:sz w:val="18"/>
          <w:szCs w:val="18"/>
        </w:rPr>
        <w:t>提醒：實證投稿時請依目標期刊規範微調引用格式（如 IJSE / JRST 偏好作者-年份內文標註；Computers &amp; Education 偏好數字編號等）。</w:t>
      </w:r>
    </w:p>
    <w:sectPr w:rsidR="00EF4DDC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B3902" w14:textId="77777777" w:rsidR="009D116F" w:rsidRDefault="009D116F">
      <w:r>
        <w:separator/>
      </w:r>
    </w:p>
  </w:endnote>
  <w:endnote w:type="continuationSeparator" w:id="0">
    <w:p w14:paraId="5AC6D7ED" w14:textId="77777777" w:rsidR="009D116F" w:rsidRDefault="009D1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9974C" w14:textId="5D7F9311" w:rsidR="00EF4DDC" w:rsidRDefault="00000000">
    <w:pPr>
      <w:jc w:val="center"/>
    </w:pPr>
    <w:r>
      <w:rPr>
        <w:color w:val="808080"/>
        <w:sz w:val="18"/>
        <w:szCs w:val="18"/>
      </w:rPr>
      <w:t xml:space="preserve">頁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PAGE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 w:rsidR="0026032F">
      <w:rPr>
        <w:rFonts w:ascii="Calibri" w:eastAsia="Calibri" w:hAnsi="Calibri" w:cs="Calibri"/>
        <w:noProof/>
        <w:color w:val="808080"/>
        <w:sz w:val="18"/>
        <w:szCs w:val="18"/>
      </w:rPr>
      <w:t>1</w:t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  <w:r>
      <w:rPr>
        <w:rFonts w:ascii="Calibri" w:eastAsia="Calibri" w:hAnsi="Calibri" w:cs="Calibri"/>
        <w:color w:val="808080"/>
        <w:sz w:val="18"/>
        <w:szCs w:val="18"/>
      </w:rPr>
      <w:t xml:space="preserve"> /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NUMPAGES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 w:rsidR="0026032F">
      <w:rPr>
        <w:rFonts w:ascii="Calibri" w:eastAsia="Calibri" w:hAnsi="Calibri" w:cs="Calibri"/>
        <w:noProof/>
        <w:color w:val="808080"/>
        <w:sz w:val="18"/>
        <w:szCs w:val="18"/>
      </w:rPr>
      <w:t>2</w:t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1B302" w14:textId="77777777" w:rsidR="009D116F" w:rsidRDefault="009D116F">
      <w:r>
        <w:separator/>
      </w:r>
    </w:p>
  </w:footnote>
  <w:footnote w:type="continuationSeparator" w:id="0">
    <w:p w14:paraId="43203B96" w14:textId="77777777" w:rsidR="009D116F" w:rsidRDefault="009D11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9974B" w14:textId="77777777" w:rsidR="00EF4DDC" w:rsidRDefault="00000000">
    <w:pPr>
      <w:jc w:val="right"/>
    </w:pPr>
    <w:r>
      <w:rPr>
        <w:color w:val="808080"/>
        <w:sz w:val="16"/>
        <w:szCs w:val="16"/>
      </w:rPr>
      <w:t>問卷參考文獻列表 v1.0｜APA 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A9207E"/>
    <w:multiLevelType w:val="hybridMultilevel"/>
    <w:tmpl w:val="8D5A4C52"/>
    <w:lvl w:ilvl="0" w:tplc="726618B2">
      <w:start w:val="1"/>
      <w:numFmt w:val="bullet"/>
      <w:lvlText w:val="●"/>
      <w:lvlJc w:val="left"/>
      <w:pPr>
        <w:ind w:left="720" w:hanging="360"/>
      </w:pPr>
    </w:lvl>
    <w:lvl w:ilvl="1" w:tplc="B566C31E">
      <w:start w:val="1"/>
      <w:numFmt w:val="bullet"/>
      <w:lvlText w:val="○"/>
      <w:lvlJc w:val="left"/>
      <w:pPr>
        <w:ind w:left="1440" w:hanging="360"/>
      </w:pPr>
    </w:lvl>
    <w:lvl w:ilvl="2" w:tplc="EBCA5EB4">
      <w:start w:val="1"/>
      <w:numFmt w:val="bullet"/>
      <w:lvlText w:val="■"/>
      <w:lvlJc w:val="left"/>
      <w:pPr>
        <w:ind w:left="2160" w:hanging="360"/>
      </w:pPr>
    </w:lvl>
    <w:lvl w:ilvl="3" w:tplc="78C6C2DC">
      <w:start w:val="1"/>
      <w:numFmt w:val="bullet"/>
      <w:lvlText w:val="●"/>
      <w:lvlJc w:val="left"/>
      <w:pPr>
        <w:ind w:left="2880" w:hanging="360"/>
      </w:pPr>
    </w:lvl>
    <w:lvl w:ilvl="4" w:tplc="11DEB19A">
      <w:start w:val="1"/>
      <w:numFmt w:val="bullet"/>
      <w:lvlText w:val="○"/>
      <w:lvlJc w:val="left"/>
      <w:pPr>
        <w:ind w:left="3600" w:hanging="360"/>
      </w:pPr>
    </w:lvl>
    <w:lvl w:ilvl="5" w:tplc="FF1EB17E">
      <w:start w:val="1"/>
      <w:numFmt w:val="bullet"/>
      <w:lvlText w:val="■"/>
      <w:lvlJc w:val="left"/>
      <w:pPr>
        <w:ind w:left="4320" w:hanging="360"/>
      </w:pPr>
    </w:lvl>
    <w:lvl w:ilvl="6" w:tplc="BA7CD2FE">
      <w:start w:val="1"/>
      <w:numFmt w:val="bullet"/>
      <w:lvlText w:val="●"/>
      <w:lvlJc w:val="left"/>
      <w:pPr>
        <w:ind w:left="5040" w:hanging="360"/>
      </w:pPr>
    </w:lvl>
    <w:lvl w:ilvl="7" w:tplc="03D8E356">
      <w:start w:val="1"/>
      <w:numFmt w:val="bullet"/>
      <w:lvlText w:val="●"/>
      <w:lvlJc w:val="left"/>
      <w:pPr>
        <w:ind w:left="5760" w:hanging="360"/>
      </w:pPr>
    </w:lvl>
    <w:lvl w:ilvl="8" w:tplc="D53277CC">
      <w:start w:val="1"/>
      <w:numFmt w:val="bullet"/>
      <w:lvlText w:val="●"/>
      <w:lvlJc w:val="left"/>
      <w:pPr>
        <w:ind w:left="6480" w:hanging="360"/>
      </w:pPr>
    </w:lvl>
  </w:abstractNum>
  <w:num w:numId="1" w16cid:durableId="2263091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DDC"/>
    <w:rsid w:val="00097AD5"/>
    <w:rsid w:val="0026032F"/>
    <w:rsid w:val="009D116F"/>
    <w:rsid w:val="00EF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9965D"/>
  <w15:docId w15:val="{1C3E3933-E2B4-4EB9-B3E9-D0BCE9005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2603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26032F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2603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26032F"/>
    <w:rPr>
      <w:sz w:val="20"/>
      <w:szCs w:val="20"/>
    </w:rPr>
  </w:style>
  <w:style w:type="character" w:styleId="af0">
    <w:name w:val="Unresolved Mention"/>
    <w:basedOn w:val="a0"/>
    <w:uiPriority w:val="99"/>
    <w:semiHidden/>
    <w:unhideWhenUsed/>
    <w:rsid w:val="002603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i.org/10.1002/sce.2184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2181</Words>
  <Characters>12433</Characters>
  <Application>Microsoft Office Word</Application>
  <DocSecurity>0</DocSecurity>
  <Lines>103</Lines>
  <Paragraphs>29</Paragraphs>
  <ScaleCrop>false</ScaleCrop>
  <Company/>
  <LinksUpToDate>false</LinksUpToDate>
  <CharactersWithSpaces>14585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Questionnaire References (APA 7)</dc:title>
  <dc:creator>aiphysicsteacher</dc:creator>
  <dc:description>彈性力學模擬實驗 — 學習成效問卷之參考文獻列表</dc:description>
  <cp:lastModifiedBy>長屹 江</cp:lastModifiedBy>
  <cp:revision>2</cp:revision>
  <dcterms:created xsi:type="dcterms:W3CDTF">2026-04-26T01:24:00Z</dcterms:created>
  <dcterms:modified xsi:type="dcterms:W3CDTF">2026-04-29T02:17:00Z</dcterms:modified>
</cp:coreProperties>
</file>