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400"/>
        <w:jc w:val="center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44"/>
          <w:szCs w:val="44"/>
        </w:rPr>
        <w:t xml:space="preserve">彈性力學模擬實驗</w:t>
      </w:r>
    </w:p>
    <w:p>
      <w:pPr>
        <w:spacing w:after="120"/>
        <w:jc w:val="center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36"/>
          <w:szCs w:val="36"/>
        </w:rPr>
        <w:t xml:space="preserve">學習成效問卷｜參考文獻列表</w:t>
      </w:r>
    </w:p>
    <w:p>
      <w:pPr>
        <w:spacing w:after="600"/>
        <w:jc w:val="center"/>
      </w:pPr>
      <w:r>
        <w:rPr>
          <w:rFonts w:ascii="Calibri" w:cs="Calibri" w:eastAsia="Calibri" w:hAnsi="Calibri"/>
          <w:i/>
          <w:iCs/>
          <w:color w:val="595959"/>
          <w:sz w:val="22"/>
          <w:szCs w:val="22"/>
        </w:rPr>
        <w:t xml:space="preserve">References for the Elasticity Simulation
Learning Outcome Questionnaire</w:t>
      </w:r>
    </w:p>
    <w:p>
      <w:pPr>
        <w:jc w:val="center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格式：APA 7th Edition</w:t>
      </w:r>
    </w:p>
    <w:p>
      <w:pPr>
        <w:spacing w:after="200"/>
        <w:jc w:val="center"/>
      </w:pPr>
      <w:r>
        <w:rPr>
          <w:rFonts w:ascii="Microsoft JhengHei" w:cs="Microsoft JhengHei" w:eastAsia="Microsoft JhengHei" w:hAnsi="Microsoft JhengHei"/>
          <w:color w:val="595959"/>
          <w:sz w:val="20"/>
          <w:szCs w:val="20"/>
        </w:rPr>
        <w:t xml:space="preserve">編製日期：2026-04-25　|　版本：v1.0</w:t>
      </w:r>
    </w:p>
    <w:p>
      <w:pPr>
        <w:pageBreakBefore/>
      </w:pPr>
      <w:r>
        <w:t xml:space="preserve"/>
      </w:r>
    </w:p>
    <w:p>
      <w:pPr>
        <w:pStyle w:val="Heading1"/>
        <w:spacing w:after="160" w:before="320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32"/>
          <w:szCs w:val="32"/>
        </w:rPr>
        <w:t xml:space="preserve">文件說明 / About this Document</w:t>
      </w:r>
    </w:p>
    <w:p>
      <w:pPr>
        <w:spacing w:after="100" w:before="60" w:line="32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本文件為「彈性力學模擬實驗 — 學習成效綜合問卷 v1.0」所引用之全部參考文獻清單，依問卷六大構面與共同基礎理論分類列出，並補充與本模擬實驗主題（橡膠超彈性模型）直接相關之物理工程文獻。</w:t>
      </w:r>
    </w:p>
    <w:p>
      <w:pPr>
        <w:spacing w:after="100" w:before="60" w:line="32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文獻分為以下 8 區塊：</w:t>
      </w:r>
    </w:p>
    <w:p>
      <w:pPr>
        <w:spacing w:after="30" w:before="30"/>
        <w:ind w:left="3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1. 建模能力與後設認知（Modeling Competence &amp; Metacognition）</w:t>
      </w:r>
    </w:p>
    <w:p>
      <w:pPr>
        <w:spacing w:after="30" w:before="30"/>
        <w:ind w:left="3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2. 模型應用邊界條件與科學本質（Model Boundaries &amp; Nature of Science）</w:t>
      </w:r>
    </w:p>
    <w:p>
      <w:pPr>
        <w:spacing w:after="30" w:before="30"/>
        <w:ind w:left="3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3. 探究學習（Inquiry-Based Learning）</w:t>
      </w:r>
    </w:p>
    <w:p>
      <w:pPr>
        <w:spacing w:after="30" w:before="30"/>
        <w:ind w:left="3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4. 模擬實驗與虛擬實驗室（Simulations &amp; Virtual Labs）</w:t>
      </w:r>
    </w:p>
    <w:p>
      <w:pPr>
        <w:spacing w:after="30" w:before="30"/>
        <w:ind w:left="3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5. 自我調節學習（Self-Regulated Learning）</w:t>
      </w:r>
    </w:p>
    <w:p>
      <w:pPr>
        <w:spacing w:after="30" w:before="30"/>
        <w:ind w:left="3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6. AI 與數位學習素養（AI &amp; Digital Learning Literacy）</w:t>
      </w:r>
    </w:p>
    <w:p>
      <w:pPr>
        <w:spacing w:after="30" w:before="30"/>
        <w:ind w:left="3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7. 物理 / 工程基礎理論文獻（Physics &amp; Engineering Foundations）</w:t>
      </w:r>
    </w:p>
    <w:p>
      <w:pPr>
        <w:spacing w:after="30" w:before="30"/>
        <w:ind w:left="3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8. 相關方法學工具（Methodological Tools）</w:t>
      </w:r>
    </w:p>
    <w:p>
      <w:r>
        <w:t xml:space="preserve"> </w:t>
      </w:r>
    </w:p>
    <w:p>
      <w:pPr>
        <w:spacing w:after="80" w:before="40" w:line="280"/>
      </w:pPr>
      <w:r>
        <w:rPr>
          <w:rFonts w:ascii="Microsoft JhengHei" w:cs="Microsoft JhengHei" w:eastAsia="Microsoft JhengHei" w:hAnsi="Microsoft JhengHei"/>
          <w:i/>
          <w:iCs/>
          <w:color w:val="595959"/>
          <w:sz w:val="18"/>
          <w:szCs w:val="18"/>
        </w:rPr>
        <w:t xml:space="preserve">註：所有條目皆採 APA 第 7 版格式，含 DOI；中文文獻於行末以中括號標註中譯題名。問卷「〔出處：…〕」欄位之引用代號可在本清單對應到完整書目資訊。</w:t>
      </w:r>
    </w:p>
    <w:p>
      <w:pPr>
        <w:pageBreakBefore/>
      </w:pPr>
      <w:r>
        <w:t xml:space="preserve"/>
      </w:r>
    </w:p>
    <w:p>
      <w:pPr>
        <w:pStyle w:val="Heading1"/>
        <w:spacing w:after="160" w:before="320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32"/>
          <w:szCs w:val="32"/>
        </w:rPr>
        <w:t xml:space="preserve">1. 建模能力與後設認知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  <w:color w:val="2E75B6"/>
          <w:sz w:val="26"/>
          <w:szCs w:val="26"/>
        </w:rPr>
        <w:t xml:space="preserve">Modeling Competence &amp; Metacognition</w:t>
      </w:r>
      <w:r>
        <w:rPr>
          <w:rFonts w:ascii="Calibri" w:cs="Calibri" w:eastAsia="Calibri" w:hAnsi="Calibri"/>
          <w:i/>
          <w:iCs/>
          <w:color w:val="808080"/>
          <w:sz w:val="20"/>
          <w:szCs w:val="20"/>
        </w:rPr>
        <w:t xml:space="preserve">   </w:t>
      </w:r>
    </w:p>
    <w:p>
      <w:pPr>
        <w:spacing w:after="80" w:before="80" w:line="320"/>
        <w:ind w:left="720" w:hanging="720"/>
      </w:pPr>
      <w:r>
        <w:rPr>
          <w:rFonts w:ascii="Calibri" w:cs="Calibri" w:eastAsia="Calibri" w:hAnsi="Calibri"/>
          <w:sz w:val="20"/>
          <w:szCs w:val="20"/>
        </w:rPr>
        <w:t xml:space="preserve">Halloun, I. A. (2007). Mediated modeling in science education. Science &amp; Education, 16(7–8), 653–697. https://doi.org/10.1007/s11191-006-9004-3</w:t>
      </w:r>
    </w:p>
    <w:p>
      <w:pPr>
        <w:spacing w:after="80" w:before="80" w:line="320"/>
        <w:ind w:left="720" w:hanging="720"/>
      </w:pPr>
      <w:r>
        <w:rPr>
          <w:rFonts w:ascii="Calibri" w:cs="Calibri" w:eastAsia="Calibri" w:hAnsi="Calibri"/>
          <w:sz w:val="20"/>
          <w:szCs w:val="20"/>
        </w:rPr>
        <w:t xml:space="preserve">Hestenes, D. (1992). Modeling games in the Newtonian world. American Journal of Physics, 60(8), 732–748. https://doi.org/10.1119/1.17080</w:t>
      </w:r>
    </w:p>
    <w:p>
      <w:pPr>
        <w:spacing w:after="80" w:before="80" w:line="320"/>
        <w:ind w:left="720" w:hanging="720"/>
      </w:pPr>
      <w:r>
        <w:rPr>
          <w:rFonts w:ascii="Calibri" w:cs="Calibri" w:eastAsia="Calibri" w:hAnsi="Calibri"/>
          <w:sz w:val="20"/>
          <w:szCs w:val="20"/>
        </w:rPr>
        <w:t xml:space="preserve">Justi, R. S., &amp; Gilbert, J. K. (2002). Modelling, teachers' views on the nature of modelling, and implications for the education of modellers. International Journal of Science Education, 24(4), 369–387. https://doi.org/10.1080/09500690110110142</w:t>
      </w:r>
    </w:p>
    <w:p>
      <w:pPr>
        <w:spacing w:after="80" w:before="80" w:line="320"/>
        <w:ind w:left="720" w:hanging="720"/>
      </w:pPr>
      <w:r>
        <w:rPr>
          <w:rFonts w:ascii="Calibri" w:cs="Calibri" w:eastAsia="Calibri" w:hAnsi="Calibri"/>
          <w:sz w:val="20"/>
          <w:szCs w:val="20"/>
        </w:rPr>
        <w:t xml:space="preserve">Krell, M., &amp; Krüger, D. (2016). Testing models: A key aspect to promote teaching activities related to models and modelling in biology lessons? Journal of Biological Education, 50(2), 160–173. https://doi.org/10.1080/00219266.2015.1028570</w:t>
      </w:r>
    </w:p>
    <w:p>
      <w:pPr>
        <w:spacing w:after="80" w:before="80" w:line="320"/>
        <w:ind w:left="720" w:hanging="720"/>
      </w:pPr>
      <w:r>
        <w:rPr>
          <w:rFonts w:ascii="Calibri" w:cs="Calibri" w:eastAsia="Calibri" w:hAnsi="Calibri"/>
          <w:sz w:val="20"/>
          <w:szCs w:val="20"/>
        </w:rPr>
        <w:t xml:space="preserve">Lehrer, R., &amp; Schauble, L. (2015). The development of scientific thinking. In L. S. Liben &amp; U. Müller (Eds.), Handbook of child psychology and developmental science (Vol. 2, pp. 671–714). John Wiley &amp; Sons. https://doi.org/10.1002/9781118963418.childpsy216</w:t>
      </w:r>
    </w:p>
    <w:p>
      <w:pPr>
        <w:spacing w:after="80" w:before="80" w:line="320"/>
        <w:ind w:left="720" w:hanging="720"/>
      </w:pPr>
      <w:r>
        <w:rPr>
          <w:rFonts w:ascii="Calibri" w:cs="Calibri" w:eastAsia="Calibri" w:hAnsi="Calibri"/>
          <w:sz w:val="20"/>
          <w:szCs w:val="20"/>
        </w:rPr>
        <w:t xml:space="preserve">Nicolaou, C. T., &amp; Constantinou, C. P. (2014). Assessment of the modeling competence: A systematic review and synthesis of empirical research. Educational Research Review, 13, 52–73. https://doi.org/10.1016/j.edurev.2014.10.001</w:t>
      </w:r>
    </w:p>
    <w:p>
      <w:pPr>
        <w:spacing w:after="80" w:before="80" w:line="320"/>
        <w:ind w:left="720" w:hanging="720"/>
      </w:pPr>
      <w:r>
        <w:rPr>
          <w:rFonts w:ascii="Calibri" w:cs="Calibri" w:eastAsia="Calibri" w:hAnsi="Calibri"/>
          <w:sz w:val="20"/>
          <w:szCs w:val="20"/>
        </w:rPr>
        <w:t xml:space="preserve">Schraw, G., &amp; Dennison, R. S. (1994). Assessing metacognitive awareness. Contemporary Educational Psychology, 19(4), 460–475. https://doi.org/10.1006/ceps.1994.1033</w:t>
      </w:r>
    </w:p>
    <w:p>
      <w:pPr>
        <w:spacing w:after="80" w:before="80" w:line="320"/>
        <w:ind w:left="720" w:hanging="720"/>
      </w:pPr>
      <w:r>
        <w:rPr>
          <w:rFonts w:ascii="Calibri" w:cs="Calibri" w:eastAsia="Calibri" w:hAnsi="Calibri"/>
          <w:sz w:val="20"/>
          <w:szCs w:val="20"/>
        </w:rPr>
        <w:t xml:space="preserve">Schwarz, C. V., Reiser, B. J., Davis, E. A., Kenyon, L., Achér, A., Fortus, D., Shwartz, Y., Hug, B., &amp; Krajcik, J. (2009). Developing a learning progression for scientific modeling: Making scientific modeling accessible and meaningful for learners. Journal of Research in Science Teaching, 46(6), 632–654. https://doi.org/10.1002/tea.20311</w:t>
      </w:r>
    </w:p>
    <w:p>
      <w:pPr>
        <w:spacing w:after="80" w:before="80" w:line="320"/>
        <w:ind w:left="720" w:hanging="720"/>
      </w:pPr>
      <w:r>
        <w:rPr>
          <w:rFonts w:ascii="Calibri" w:cs="Calibri" w:eastAsia="Calibri" w:hAnsi="Calibri"/>
          <w:sz w:val="20"/>
          <w:szCs w:val="20"/>
        </w:rPr>
        <w:t xml:space="preserve">Thomas, G., Anderson, D., &amp; Nashon, S. (2008). Development of an instrument designed to investigate elements of science students' metacognition, self-efficacy and learning processes: The SEMLI-S. International Journal of Science Education, 30(13), 1701–1724. https://doi.org/10.1080/09500690701482493</w:t>
      </w:r>
    </w:p>
    <w:p>
      <w:pPr>
        <w:spacing w:after="80" w:before="80" w:line="320"/>
        <w:ind w:left="720" w:hanging="720"/>
      </w:pPr>
      <w:r>
        <w:rPr>
          <w:rFonts w:ascii="Calibri" w:cs="Calibri" w:eastAsia="Calibri" w:hAnsi="Calibri"/>
          <w:sz w:val="20"/>
          <w:szCs w:val="20"/>
        </w:rPr>
        <w:t xml:space="preserve">Upmeier zu Belzen, A., Krüger, D., &amp; van Driel, J. (Eds.). (2019). Towards a competence-based view on models and modeling in science education. Springer. https://doi.org/10.1007/978-3-030-30255-9</w:t>
      </w:r>
    </w:p>
    <w:p>
      <w:pPr>
        <w:spacing w:after="80" w:before="80" w:line="320"/>
        <w:ind w:left="720" w:hanging="720"/>
      </w:pPr>
      <w:r>
        <w:rPr>
          <w:rFonts w:ascii="Calibri" w:cs="Calibri" w:eastAsia="Calibri" w:hAnsi="Calibri"/>
          <w:sz w:val="20"/>
          <w:szCs w:val="20"/>
        </w:rPr>
        <w:t xml:space="preserve">Krell, M., Reinisch, B., &amp; Krüger, D. (2015). Analyzing students' understanding of models and modeling referring to the disciplines biology, chemistry, and physics. Research in Science Education, 45(3), 367–393. https://doi.org/10.1007/s11165-014-9427-9</w:t>
      </w:r>
    </w:p>
    <w:p>
      <w:pPr>
        <w:spacing w:after="80" w:before="80" w:line="320"/>
        <w:ind w:left="720" w:hanging="720"/>
      </w:pPr>
      <w:r>
        <w:rPr>
          <w:rFonts w:ascii="Calibri" w:cs="Calibri" w:eastAsia="Calibri" w:hAnsi="Calibri"/>
          <w:sz w:val="20"/>
          <w:szCs w:val="20"/>
        </w:rPr>
        <w:t xml:space="preserve">Göhner, M. F., Bielik, T., &amp; Krell, M. (2022). Investigating the dimensions of modeling competence among preservice science teachers: Meta-modeling knowledge, modeling practice, and modeling product. Journal of Research in Science Teaching, 59(7), 1354–1387. https://doi.org/10.1002/tea.21759</w:t>
      </w:r>
    </w:p>
    <w:p>
      <w:pPr>
        <w:spacing w:after="80" w:before="80" w:line="320"/>
        <w:ind w:left="720" w:hanging="720"/>
      </w:pPr>
      <w:r>
        <w:rPr>
          <w:rFonts w:ascii="Calibri" w:cs="Calibri" w:eastAsia="Calibri" w:hAnsi="Calibri"/>
          <w:sz w:val="20"/>
          <w:szCs w:val="20"/>
        </w:rPr>
        <w:t xml:space="preserve">Ammoneit, R., &amp; Krüger, D. (2024). Why most definitions of modeling competence in science education fall short: Analyzing the relevance of volition for modeling. Science Education, 108(2), 364–388. https://doi.org/10.1002/sce.21841</w:t>
      </w:r>
    </w:p>
    <w:p>
      <w:pPr>
        <w:pageBreakBefore/>
      </w:pPr>
      <w:r>
        <w:t xml:space="preserve"/>
      </w:r>
    </w:p>
    <w:p>
      <w:pPr>
        <w:pStyle w:val="Heading1"/>
        <w:spacing w:after="160" w:before="320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32"/>
          <w:szCs w:val="32"/>
        </w:rPr>
        <w:t xml:space="preserve">2. 模型應用邊界條件與科學本質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  <w:color w:val="2E75B6"/>
          <w:sz w:val="26"/>
          <w:szCs w:val="26"/>
        </w:rPr>
        <w:t xml:space="preserve">Model Boundaries &amp; Nature of Science</w:t>
      </w:r>
      <w:r>
        <w:rPr>
          <w:rFonts w:ascii="Calibri" w:cs="Calibri" w:eastAsia="Calibri" w:hAnsi="Calibri"/>
          <w:i/>
          <w:iCs/>
          <w:color w:val="808080"/>
          <w:sz w:val="20"/>
          <w:szCs w:val="20"/>
        </w:rPr>
        <w:t xml:space="preserve">   </w:t>
      </w:r>
    </w:p>
    <w:p>
      <w:pPr>
        <w:spacing w:after="80" w:before="80" w:line="320"/>
        <w:ind w:left="720" w:hanging="720"/>
      </w:pPr>
      <w:r>
        <w:rPr>
          <w:rFonts w:ascii="Calibri" w:cs="Calibri" w:eastAsia="Calibri" w:hAnsi="Calibri"/>
          <w:sz w:val="20"/>
          <w:szCs w:val="20"/>
        </w:rPr>
        <w:t xml:space="preserve">Lederman, N. G., Abd-El-Khalick, F., Bell, R. L., &amp; Schwartz, R. S. (2002). Views of nature of science questionnaire: Toward valid and meaningful assessment of learners' conceptions of nature of science. Journal of Research in Science Teaching, 39(6), 497–521. https://doi.org/10.1002/tea.10034</w:t>
      </w:r>
    </w:p>
    <w:p>
      <w:pPr>
        <w:spacing w:after="80" w:before="80" w:line="320"/>
        <w:ind w:left="720" w:hanging="720"/>
      </w:pPr>
      <w:r>
        <w:rPr>
          <w:rFonts w:ascii="Calibri" w:cs="Calibri" w:eastAsia="Calibri" w:hAnsi="Calibri"/>
          <w:sz w:val="20"/>
          <w:szCs w:val="20"/>
        </w:rPr>
        <w:t xml:space="preserve">Smith, J. P., diSessa, A. A., &amp; Roschelle, J. (1993). Misconceptions reconceived: A constructivist analysis of knowledge in transition. Journal of the Learning Sciences, 3(2), 115–163. https://doi.org/10.1207/s15327809jls0302_1</w:t>
      </w:r>
    </w:p>
    <w:p>
      <w:pPr>
        <w:spacing w:after="80" w:before="80" w:line="320"/>
        <w:ind w:left="720" w:hanging="720"/>
      </w:pPr>
      <w:r>
        <w:rPr>
          <w:rFonts w:ascii="Calibri" w:cs="Calibri" w:eastAsia="Calibri" w:hAnsi="Calibri"/>
          <w:sz w:val="20"/>
          <w:szCs w:val="20"/>
        </w:rPr>
        <w:t xml:space="preserve">Schwartz, R. S., Lederman, N. G., &amp; Crawford, B. A. (2004). Developing views of nature of science in an authentic context: An explicit approach to bridging the gap between nature of science and scientific inquiry. Science Education, 88(4), 610–645. https://doi.org/10.1002/sce.10128</w:t>
      </w:r>
    </w:p>
    <w:p>
      <w:pPr>
        <w:spacing w:after="80" w:before="80" w:line="320"/>
        <w:ind w:left="720" w:hanging="720"/>
      </w:pPr>
      <w:r>
        <w:rPr>
          <w:rFonts w:ascii="Calibri" w:cs="Calibri" w:eastAsia="Calibri" w:hAnsi="Calibri"/>
          <w:sz w:val="20"/>
          <w:szCs w:val="20"/>
        </w:rPr>
        <w:t xml:space="preserve">Hestenes, D. (1996). Modeling methodology for physics teachers. In E. F. Redish &amp; J. S. Rigden (Eds.), The changing role of physics departments in modern universities (pp. 935–957). American Institute of Physics. https://doi.org/10.1063/1.50028</w:t>
      </w:r>
    </w:p>
    <w:p>
      <w:pPr>
        <w:spacing w:after="80" w:before="80" w:line="320"/>
        <w:ind w:left="720" w:hanging="720"/>
      </w:pPr>
      <w:r>
        <w:rPr>
          <w:rFonts w:ascii="Calibri" w:cs="Calibri" w:eastAsia="Calibri" w:hAnsi="Calibri"/>
          <w:sz w:val="20"/>
          <w:szCs w:val="20"/>
        </w:rPr>
        <w:t xml:space="preserve">Sins, P. H. M., Savelsbergh, E. R., van Joolingen, W. R., &amp; van Hout-Wolters, B. H. A. M. (2009). The relation between students' epistemological understanding of computer models and their cognitive processing on a modelling task. International Journal of Science Education, 31(9), 1205–1229. https://doi.org/10.1080/09500690802192181</w:t>
      </w:r>
    </w:p>
    <w:p>
      <w:pPr>
        <w:spacing w:after="80" w:before="80" w:line="320"/>
        <w:ind w:left="720" w:hanging="720"/>
      </w:pPr>
      <w:r>
        <w:rPr>
          <w:rFonts w:ascii="Calibri" w:cs="Calibri" w:eastAsia="Calibri" w:hAnsi="Calibri"/>
          <w:sz w:val="20"/>
          <w:szCs w:val="20"/>
        </w:rPr>
        <w:t xml:space="preserve">Kapon, S., &amp; diSessa, A. A. (2012). Reasoning through instructional analogies. Cognition and Instruction, 30(3), 261–310. https://doi.org/10.1080/07370008.2012.689385</w:t>
      </w:r>
    </w:p>
    <w:p>
      <w:pPr>
        <w:pageBreakBefore/>
      </w:pPr>
      <w:r>
        <w:t xml:space="preserve"/>
      </w:r>
    </w:p>
    <w:p>
      <w:pPr>
        <w:pStyle w:val="Heading1"/>
        <w:spacing w:after="160" w:before="320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32"/>
          <w:szCs w:val="32"/>
        </w:rPr>
        <w:t xml:space="preserve">3. 探究學習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  <w:color w:val="2E75B6"/>
          <w:sz w:val="26"/>
          <w:szCs w:val="26"/>
        </w:rPr>
        <w:t xml:space="preserve">Inquiry-Based Learning</w:t>
      </w:r>
      <w:r>
        <w:rPr>
          <w:rFonts w:ascii="Calibri" w:cs="Calibri" w:eastAsia="Calibri" w:hAnsi="Calibri"/>
          <w:i/>
          <w:iCs/>
          <w:color w:val="808080"/>
          <w:sz w:val="20"/>
          <w:szCs w:val="20"/>
        </w:rPr>
        <w:t xml:space="preserve">   </w:t>
      </w:r>
    </w:p>
    <w:p>
      <w:pPr>
        <w:spacing w:after="80" w:before="80" w:line="320"/>
        <w:ind w:left="720" w:hanging="720"/>
      </w:pPr>
      <w:r>
        <w:rPr>
          <w:rFonts w:ascii="Calibri" w:cs="Calibri" w:eastAsia="Calibri" w:hAnsi="Calibri"/>
          <w:sz w:val="20"/>
          <w:szCs w:val="20"/>
        </w:rPr>
        <w:t xml:space="preserve">Pedaste, M., Mäeots, M., Siiman, L. A., de Jong, T., van Riesen, S. A. N., Kamp, E. T., Manoli, C. C., Zacharia, Z. C., &amp; Tsourlidaki, E. (2015). Phases of inquiry-based learning: Definitions and the inquiry cycle. Educational Research Review, 14, 47–61. https://doi.org/10.1016/j.edurev.2015.02.003</w:t>
      </w:r>
    </w:p>
    <w:p>
      <w:pPr>
        <w:spacing w:after="80" w:before="80" w:line="320"/>
        <w:ind w:left="720" w:hanging="720"/>
      </w:pPr>
      <w:r>
        <w:rPr>
          <w:rFonts w:ascii="Calibri" w:cs="Calibri" w:eastAsia="Calibri" w:hAnsi="Calibri"/>
          <w:sz w:val="20"/>
          <w:szCs w:val="20"/>
        </w:rPr>
        <w:t xml:space="preserve">Furtak, E. M., Seidel, T., Iverson, H., &amp; Briggs, D. C. (2012). Experimental and quasi-experimental studies of inquiry-based science teaching: A meta-analysis. Review of Educational Research, 82(3), 300–329. https://doi.org/10.3102/0034654312457206</w:t>
      </w:r>
    </w:p>
    <w:p>
      <w:pPr>
        <w:spacing w:after="80" w:before="80" w:line="320"/>
        <w:ind w:left="720" w:hanging="720"/>
      </w:pPr>
      <w:r>
        <w:rPr>
          <w:rFonts w:ascii="Calibri" w:cs="Calibri" w:eastAsia="Calibri" w:hAnsi="Calibri"/>
          <w:sz w:val="20"/>
          <w:szCs w:val="20"/>
        </w:rPr>
        <w:t xml:space="preserve">Minner, D. D., Levy, A. J., &amp; Century, J. (2010). Inquiry-based science instruction—what is it and does it matter? Results from a research synthesis years 1984 to 2002. Journal of Research in Science Teaching, 47(4), 474–496. https://doi.org/10.1002/tea.20347</w:t>
      </w:r>
    </w:p>
    <w:p>
      <w:pPr>
        <w:spacing w:after="80" w:before="80" w:line="320"/>
        <w:ind w:left="720" w:hanging="720"/>
      </w:pPr>
      <w:r>
        <w:rPr>
          <w:rFonts w:ascii="Calibri" w:cs="Calibri" w:eastAsia="Calibri" w:hAnsi="Calibri"/>
          <w:sz w:val="20"/>
          <w:szCs w:val="20"/>
        </w:rPr>
        <w:t xml:space="preserve">Bell, T., Urhahne, D., Schanze, S., &amp; Ploetzner, R. (2010). Collaborative inquiry learning: Models, tools, and challenges. International Journal of Science Education, 32(3), 349–377. https://doi.org/10.1080/09500690802582241</w:t>
      </w:r>
    </w:p>
    <w:p>
      <w:pPr>
        <w:spacing w:after="80" w:before="80" w:line="320"/>
        <w:ind w:left="720" w:hanging="720"/>
      </w:pPr>
      <w:r>
        <w:rPr>
          <w:rFonts w:ascii="Calibri" w:cs="Calibri" w:eastAsia="Calibri" w:hAnsi="Calibri"/>
          <w:sz w:val="20"/>
          <w:szCs w:val="20"/>
        </w:rPr>
        <w:t xml:space="preserve">Lazonder, A. W., &amp; Harmsen, R. (2016). Meta-analysis of inquiry-based learning: Effects of guidance. Review of Educational Research, 86(3), 681–718. https://doi.org/10.3102/0034654315627366</w:t>
      </w:r>
    </w:p>
    <w:p>
      <w:pPr>
        <w:spacing w:after="80" w:before="80" w:line="320"/>
        <w:ind w:left="720" w:hanging="720"/>
      </w:pPr>
      <w:r>
        <w:rPr>
          <w:rFonts w:ascii="Calibri" w:cs="Calibri" w:eastAsia="Calibri" w:hAnsi="Calibri"/>
          <w:sz w:val="20"/>
          <w:szCs w:val="20"/>
        </w:rPr>
        <w:t xml:space="preserve">National Research Council. (2013). Next Generation Science Standards: For states, by states. The National Academies Press. https://doi.org/10.17226/18290</w:t>
      </w:r>
    </w:p>
    <w:p>
      <w:pPr>
        <w:spacing w:after="80" w:before="80" w:line="320"/>
        <w:ind w:left="720" w:hanging="720"/>
      </w:pPr>
      <w:r>
        <w:rPr>
          <w:rFonts w:ascii="Calibri" w:cs="Calibri" w:eastAsia="Calibri" w:hAnsi="Calibri"/>
          <w:sz w:val="20"/>
          <w:szCs w:val="20"/>
        </w:rPr>
        <w:t xml:space="preserve">Crawford, B. A. (2014). From inquiry to scientific practices in the science classroom. In N. G. Lederman &amp; S. K. Abell (Eds.), Handbook of research on science education (Vol. II, pp. 515–541). Routledge.</w:t>
      </w:r>
    </w:p>
    <w:p>
      <w:pPr>
        <w:pageBreakBefore/>
      </w:pPr>
      <w:r>
        <w:t xml:space="preserve"/>
      </w:r>
    </w:p>
    <w:p>
      <w:pPr>
        <w:pStyle w:val="Heading1"/>
        <w:spacing w:after="160" w:before="320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32"/>
          <w:szCs w:val="32"/>
        </w:rPr>
        <w:t xml:space="preserve">4. 模擬實驗與虛擬實驗室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  <w:color w:val="2E75B6"/>
          <w:sz w:val="26"/>
          <w:szCs w:val="26"/>
        </w:rPr>
        <w:t xml:space="preserve">Simulations &amp; Virtual Labs</w:t>
      </w:r>
      <w:r>
        <w:rPr>
          <w:rFonts w:ascii="Calibri" w:cs="Calibri" w:eastAsia="Calibri" w:hAnsi="Calibri"/>
          <w:i/>
          <w:iCs/>
          <w:color w:val="808080"/>
          <w:sz w:val="20"/>
          <w:szCs w:val="20"/>
        </w:rPr>
        <w:t xml:space="preserve">   </w:t>
      </w:r>
    </w:p>
    <w:p>
      <w:pPr>
        <w:spacing w:after="80" w:before="80" w:line="320"/>
        <w:ind w:left="720" w:hanging="720"/>
      </w:pPr>
      <w:r>
        <w:rPr>
          <w:rFonts w:ascii="Calibri" w:cs="Calibri" w:eastAsia="Calibri" w:hAnsi="Calibri"/>
          <w:sz w:val="20"/>
          <w:szCs w:val="20"/>
        </w:rPr>
        <w:t xml:space="preserve">de Jong, T., Linn, M. C., &amp; Zacharia, Z. C. (2013). Physical and virtual laboratories in science and engineering education. Science, 340(6130), 305–308. https://doi.org/10.1126/science.1230579</w:t>
      </w:r>
    </w:p>
    <w:p>
      <w:pPr>
        <w:spacing w:after="80" w:before="80" w:line="320"/>
        <w:ind w:left="720" w:hanging="720"/>
      </w:pPr>
      <w:r>
        <w:rPr>
          <w:rFonts w:ascii="Calibri" w:cs="Calibri" w:eastAsia="Calibri" w:hAnsi="Calibri"/>
          <w:sz w:val="20"/>
          <w:szCs w:val="20"/>
        </w:rPr>
        <w:t xml:space="preserve">de Jong, T., &amp; van Joolingen, W. R. (1998). Scientific discovery learning with computer simulations of conceptual domains. Review of Educational Research, 68(2), 179–201. https://doi.org/10.3102/00346543068002179</w:t>
      </w:r>
    </w:p>
    <w:p>
      <w:pPr>
        <w:spacing w:after="80" w:before="80" w:line="320"/>
        <w:ind w:left="720" w:hanging="720"/>
      </w:pPr>
      <w:r>
        <w:rPr>
          <w:rFonts w:ascii="Calibri" w:cs="Calibri" w:eastAsia="Calibri" w:hAnsi="Calibri"/>
          <w:sz w:val="20"/>
          <w:szCs w:val="20"/>
        </w:rPr>
        <w:t xml:space="preserve">Smetana, L. K., &amp; Bell, R. L. (2012). Computer simulations to support science instruction and learning: A critical review of the literature. International Journal of Science Education, 34(9), 1337–1370. https://doi.org/10.1080/09500693.2011.605182</w:t>
      </w:r>
    </w:p>
    <w:p>
      <w:pPr>
        <w:spacing w:after="80" w:before="80" w:line="320"/>
        <w:ind w:left="720" w:hanging="720"/>
      </w:pPr>
      <w:r>
        <w:rPr>
          <w:rFonts w:ascii="Calibri" w:cs="Calibri" w:eastAsia="Calibri" w:hAnsi="Calibri"/>
          <w:sz w:val="20"/>
          <w:szCs w:val="20"/>
        </w:rPr>
        <w:t xml:space="preserve">Rutten, N., van Joolingen, W. R., &amp; van der Veen, J. T. (2012). The learning effects of computer simulations in science education. Computers &amp; Education, 58(1), 136–153. https://doi.org/10.1016/j.compedu.2011.07.017</w:t>
      </w:r>
    </w:p>
    <w:p>
      <w:pPr>
        <w:spacing w:after="80" w:before="80" w:line="320"/>
        <w:ind w:left="720" w:hanging="720"/>
      </w:pPr>
      <w:r>
        <w:rPr>
          <w:rFonts w:ascii="Calibri" w:cs="Calibri" w:eastAsia="Calibri" w:hAnsi="Calibri"/>
          <w:sz w:val="20"/>
          <w:szCs w:val="20"/>
        </w:rPr>
        <w:t xml:space="preserve">Wieman, C. E., Adams, W. K., &amp; Perkins, K. K. (2008). PhET: Simulations that enhance learning. Science, 322(5902), 682–683. https://doi.org/10.1126/science.1161948</w:t>
      </w:r>
    </w:p>
    <w:p>
      <w:pPr>
        <w:spacing w:after="80" w:before="80" w:line="320"/>
        <w:ind w:left="720" w:hanging="720"/>
      </w:pPr>
      <w:r>
        <w:rPr>
          <w:rFonts w:ascii="Calibri" w:cs="Calibri" w:eastAsia="Calibri" w:hAnsi="Calibri"/>
          <w:sz w:val="20"/>
          <w:szCs w:val="20"/>
        </w:rPr>
        <w:t xml:space="preserve">Wieman, C., &amp; Perkins, K. (2006). A powerful tool for teaching science. Nature Physics, 2(5), 290–292. https://doi.org/10.1038/nphys283</w:t>
      </w:r>
    </w:p>
    <w:p>
      <w:pPr>
        <w:spacing w:after="80" w:before="80" w:line="320"/>
        <w:ind w:left="720" w:hanging="720"/>
      </w:pPr>
      <w:r>
        <w:rPr>
          <w:rFonts w:ascii="Calibri" w:cs="Calibri" w:eastAsia="Calibri" w:hAnsi="Calibri"/>
          <w:sz w:val="20"/>
          <w:szCs w:val="20"/>
        </w:rPr>
        <w:t xml:space="preserve">Ainsworth, S. (2006). DeFT: A conceptual framework for considering learning with multiple representations. Learning and Instruction, 16(3), 183–198. https://doi.org/10.1016/j.learninstruc.2006.03.001</w:t>
      </w:r>
    </w:p>
    <w:p>
      <w:pPr>
        <w:spacing w:after="80" w:before="80" w:line="320"/>
        <w:ind w:left="720" w:hanging="720"/>
      </w:pPr>
      <w:r>
        <w:rPr>
          <w:rFonts w:ascii="Calibri" w:cs="Calibri" w:eastAsia="Calibri" w:hAnsi="Calibri"/>
          <w:sz w:val="20"/>
          <w:szCs w:val="20"/>
        </w:rPr>
        <w:t xml:space="preserve">Chen, S., Lo, H. C., Lin, J. W., Liang, J. C., Chang, H. Y., Hwang, F. K., Chiou, G. L., Wu, Y. T., Lee, S. W. Y., Wu, H. K., Wang, C. Y., &amp; Tsai, C. C. (2020). Development and implications of technology in reform-based physics laboratories. Physical Review Physics Education Research, 16(1), 010120. https://doi.org/10.1103/PhysRevPhysEducRes.16.010120</w:t>
      </w:r>
    </w:p>
    <w:p>
      <w:pPr>
        <w:spacing w:after="80" w:before="80" w:line="320"/>
        <w:ind w:left="720" w:hanging="720"/>
      </w:pPr>
      <w:r>
        <w:rPr>
          <w:rFonts w:ascii="Calibri" w:cs="Calibri" w:eastAsia="Calibri" w:hAnsi="Calibri"/>
          <w:sz w:val="20"/>
          <w:szCs w:val="20"/>
        </w:rPr>
        <w:t xml:space="preserve">Chiu, M. H. (2007). A national survey of students' conceptions of chemistry in Taiwan. International Journal of Science Education, 29(4), 421–452. https://doi.org/10.1080/09500690601072964</w:t>
      </w:r>
    </w:p>
    <w:p>
      <w:pPr>
        <w:spacing w:after="80" w:before="80" w:line="320"/>
        <w:ind w:left="720" w:hanging="720"/>
      </w:pPr>
      <w:r>
        <w:rPr>
          <w:rFonts w:ascii="Calibri" w:cs="Calibri" w:eastAsia="Calibri" w:hAnsi="Calibri"/>
          <w:sz w:val="20"/>
          <w:szCs w:val="20"/>
        </w:rPr>
        <w:t xml:space="preserve">Adams, W. K., Reid, S., LeMaster, R., McKagan, S. B., Perkins, K. K., Dubson, M., &amp; Wieman, C. E. (2008). A study of educational simulations Part I — Engagement and learning. Journal of Interactive Learning Research, 19(3), 397–419.</w:t>
      </w:r>
    </w:p>
    <w:p>
      <w:pPr>
        <w:pageBreakBefore/>
      </w:pPr>
      <w:r>
        <w:t xml:space="preserve"/>
      </w:r>
    </w:p>
    <w:p>
      <w:pPr>
        <w:pStyle w:val="Heading1"/>
        <w:spacing w:after="160" w:before="320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32"/>
          <w:szCs w:val="32"/>
        </w:rPr>
        <w:t xml:space="preserve">5. 自我調節學習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  <w:color w:val="2E75B6"/>
          <w:sz w:val="26"/>
          <w:szCs w:val="26"/>
        </w:rPr>
        <w:t xml:space="preserve">Self-Regulated Learning (SRL)</w:t>
      </w:r>
      <w:r>
        <w:rPr>
          <w:rFonts w:ascii="Calibri" w:cs="Calibri" w:eastAsia="Calibri" w:hAnsi="Calibri"/>
          <w:i/>
          <w:iCs/>
          <w:color w:val="808080"/>
          <w:sz w:val="20"/>
          <w:szCs w:val="20"/>
        </w:rPr>
        <w:t xml:space="preserve">   </w:t>
      </w:r>
    </w:p>
    <w:p>
      <w:pPr>
        <w:spacing w:after="80" w:before="80" w:line="320"/>
        <w:ind w:left="720" w:hanging="720"/>
      </w:pPr>
      <w:r>
        <w:rPr>
          <w:rFonts w:ascii="Calibri" w:cs="Calibri" w:eastAsia="Calibri" w:hAnsi="Calibri"/>
          <w:sz w:val="20"/>
          <w:szCs w:val="20"/>
        </w:rPr>
        <w:t xml:space="preserve">Barnard, L., Lan, W. Y., To, Y. M., Paton, V. O., &amp; Lai, S. L. (2009). Measuring self-regulation in online and blended learning environments. The Internet and Higher Education, 12(1), 1–6. https://doi.org/10.1016/j.iheduc.2008.10.005</w:t>
      </w:r>
    </w:p>
    <w:p>
      <w:pPr>
        <w:spacing w:after="80" w:before="80" w:line="320"/>
        <w:ind w:left="720" w:hanging="720"/>
      </w:pPr>
      <w:r>
        <w:rPr>
          <w:rFonts w:ascii="Calibri" w:cs="Calibri" w:eastAsia="Calibri" w:hAnsi="Calibri"/>
          <w:sz w:val="20"/>
          <w:szCs w:val="20"/>
        </w:rPr>
        <w:t xml:space="preserve">Pintrich, P. R. (2004). A conceptual framework for assessing motivation and self-regulated learning in college students. Educational Psychology Review, 16(4), 385–407. https://doi.org/10.1007/s10648-004-0006-x</w:t>
      </w:r>
    </w:p>
    <w:p>
      <w:pPr>
        <w:spacing w:after="80" w:before="80" w:line="320"/>
        <w:ind w:left="720" w:hanging="720"/>
      </w:pPr>
      <w:r>
        <w:rPr>
          <w:rFonts w:ascii="Calibri" w:cs="Calibri" w:eastAsia="Calibri" w:hAnsi="Calibri"/>
          <w:sz w:val="20"/>
          <w:szCs w:val="20"/>
        </w:rPr>
        <w:t xml:space="preserve">Pintrich, P. R., Smith, D. A. F., Garcia, T., &amp; McKeachie, W. J. (1993). Reliability and predictive validity of the Motivated Strategies for Learning Questionnaire (MSLQ). Educational and Psychological Measurement, 53(3), 801–813. https://doi.org/10.1177/0013164493053003024</w:t>
      </w:r>
    </w:p>
    <w:p>
      <w:pPr>
        <w:spacing w:after="80" w:before="80" w:line="320"/>
        <w:ind w:left="720" w:hanging="720"/>
      </w:pPr>
      <w:r>
        <w:rPr>
          <w:rFonts w:ascii="Calibri" w:cs="Calibri" w:eastAsia="Calibri" w:hAnsi="Calibri"/>
          <w:sz w:val="20"/>
          <w:szCs w:val="20"/>
        </w:rPr>
        <w:t xml:space="preserve">Zimmerman, B. J. (2002). Becoming a self-regulated learner: An overview. Theory into Practice, 41(2), 64–70. https://doi.org/10.1207/s15430421tip4102_2</w:t>
      </w:r>
    </w:p>
    <w:p>
      <w:pPr>
        <w:spacing w:after="80" w:before="80" w:line="320"/>
        <w:ind w:left="720" w:hanging="720"/>
      </w:pPr>
      <w:r>
        <w:rPr>
          <w:rFonts w:ascii="Calibri" w:cs="Calibri" w:eastAsia="Calibri" w:hAnsi="Calibri"/>
          <w:sz w:val="20"/>
          <w:szCs w:val="20"/>
        </w:rPr>
        <w:t xml:space="preserve">Jansen, R. S., van Leeuwen, A., Janssen, J., Conijn, R., &amp; Kester, L. (2017). Validation of the self-regulated online learning questionnaire. Journal of Computing in Higher Education, 29(1), 6–27. https://doi.org/10.1007/s12528-016-9125-x</w:t>
      </w:r>
    </w:p>
    <w:p>
      <w:pPr>
        <w:spacing w:after="80" w:before="80" w:line="320"/>
        <w:ind w:left="720" w:hanging="720"/>
      </w:pPr>
      <w:r>
        <w:rPr>
          <w:rFonts w:ascii="Calibri" w:cs="Calibri" w:eastAsia="Calibri" w:hAnsi="Calibri"/>
          <w:sz w:val="20"/>
          <w:szCs w:val="20"/>
        </w:rPr>
        <w:t xml:space="preserve">Broadbent, J., Panadero, E., Lodge, J. M., &amp; Fuller-Tyszkiewicz, M. (2023). The self-regulation for learning online (SRL-O) questionnaire. Metacognition and Learning, 18(1), 135–163. https://doi.org/10.1007/s11409-022-09319-6</w:t>
      </w:r>
    </w:p>
    <w:p>
      <w:pPr>
        <w:spacing w:after="80" w:before="80" w:line="320"/>
        <w:ind w:left="720" w:hanging="720"/>
      </w:pPr>
      <w:r>
        <w:rPr>
          <w:rFonts w:ascii="Calibri" w:cs="Calibri" w:eastAsia="Calibri" w:hAnsi="Calibri"/>
          <w:sz w:val="20"/>
          <w:szCs w:val="20"/>
        </w:rPr>
        <w:t xml:space="preserve">Winne, P. H., &amp; Hadwin, A. F. (2008). The weave of motivation and self-regulated learning. In D. H. Schunk &amp; B. J. Zimmerman (Eds.), Motivation and self-regulated learning: Theory, research, and applications (pp. 297–314). Lawrence Erlbaum.</w:t>
      </w:r>
    </w:p>
    <w:p>
      <w:pPr>
        <w:spacing w:after="80" w:before="80" w:line="320"/>
        <w:ind w:left="720" w:hanging="720"/>
      </w:pPr>
      <w:r>
        <w:rPr>
          <w:rFonts w:ascii="Calibri" w:cs="Calibri" w:eastAsia="Calibri" w:hAnsi="Calibri"/>
          <w:sz w:val="20"/>
          <w:szCs w:val="20"/>
        </w:rPr>
        <w:t xml:space="preserve">Panadero, E. (2017). A review of self-regulated learning: Six models and four directions for research. Frontiers in Psychology, 8, 422. https://doi.org/10.3389/fpsyg.2017.00422</w:t>
      </w:r>
    </w:p>
    <w:p>
      <w:pPr>
        <w:pageBreakBefore/>
      </w:pPr>
      <w:r>
        <w:t xml:space="preserve"/>
      </w:r>
    </w:p>
    <w:p>
      <w:pPr>
        <w:pStyle w:val="Heading1"/>
        <w:spacing w:after="160" w:before="320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32"/>
          <w:szCs w:val="32"/>
        </w:rPr>
        <w:t xml:space="preserve">6. AI 與數位學習素養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  <w:color w:val="2E75B6"/>
          <w:sz w:val="26"/>
          <w:szCs w:val="26"/>
        </w:rPr>
        <w:t xml:space="preserve">AI &amp; Digital Learning Literacy</w:t>
      </w:r>
      <w:r>
        <w:rPr>
          <w:rFonts w:ascii="Calibri" w:cs="Calibri" w:eastAsia="Calibri" w:hAnsi="Calibri"/>
          <w:i/>
          <w:iCs/>
          <w:color w:val="808080"/>
          <w:sz w:val="20"/>
          <w:szCs w:val="20"/>
        </w:rPr>
        <w:t xml:space="preserve">   </w:t>
      </w:r>
    </w:p>
    <w:p>
      <w:pPr>
        <w:spacing w:after="80" w:before="80" w:line="320"/>
        <w:ind w:left="720" w:hanging="720"/>
      </w:pPr>
      <w:r>
        <w:rPr>
          <w:rFonts w:ascii="Calibri" w:cs="Calibri" w:eastAsia="Calibri" w:hAnsi="Calibri"/>
          <w:sz w:val="20"/>
          <w:szCs w:val="20"/>
        </w:rPr>
        <w:t xml:space="preserve">Ng, D. T. K., Wu, W., Leung, J. K. L., Chiu, T. K. F., &amp; Chu, S. K. W. (2024). Design and validation of the AI literacy questionnaire: The affective, behavioural, cognitive and ethical approach. British Journal of Educational Technology, 55(3), 1082–1104. https://doi.org/10.1111/bjet.13411</w:t>
      </w:r>
    </w:p>
    <w:p>
      <w:pPr>
        <w:spacing w:after="80" w:before="80" w:line="320"/>
        <w:ind w:left="720" w:hanging="720"/>
      </w:pPr>
      <w:r>
        <w:rPr>
          <w:rFonts w:ascii="Calibri" w:cs="Calibri" w:eastAsia="Calibri" w:hAnsi="Calibri"/>
          <w:sz w:val="20"/>
          <w:szCs w:val="20"/>
        </w:rPr>
        <w:t xml:space="preserve">Ng, D. T. K., Lee, M., Tan, R. J. Y., Hu, X., Downie, J. S., &amp; Chu, S. K. W. (2023). A review of AI teaching and learning from 2000 to 2020. Education and Information Technologies, 28, 8445–8501. https://doi.org/10.1007/s10639-022-11491-w</w:t>
      </w:r>
    </w:p>
    <w:p>
      <w:pPr>
        <w:spacing w:after="80" w:before="80" w:line="320"/>
        <w:ind w:left="720" w:hanging="720"/>
      </w:pPr>
      <w:r>
        <w:rPr>
          <w:rFonts w:ascii="Calibri" w:cs="Calibri" w:eastAsia="Calibri" w:hAnsi="Calibri"/>
          <w:sz w:val="20"/>
          <w:szCs w:val="20"/>
        </w:rPr>
        <w:t xml:space="preserve">Hwang, G. J., Xie, H., Wah, B. W., &amp; Gašević, D. (2020). Vision, challenges, roles and research issues of artificial intelligence in education. Computers and Education: Artificial Intelligence, 1, 100001. https://doi.org/10.1016/j.caeai.2020.100001</w:t>
      </w:r>
    </w:p>
    <w:p>
      <w:pPr>
        <w:spacing w:after="80" w:before="80" w:line="320"/>
        <w:ind w:left="720" w:hanging="720"/>
      </w:pPr>
      <w:r>
        <w:rPr>
          <w:rFonts w:ascii="Calibri" w:cs="Calibri" w:eastAsia="Calibri" w:hAnsi="Calibri"/>
          <w:sz w:val="20"/>
          <w:szCs w:val="20"/>
        </w:rPr>
        <w:t xml:space="preserve">Holmes, W., Bialik, M., &amp; Fadel, C. (2019). Artificial intelligence in education: Promises and implications for teaching and learning. Center for Curriculum Redesign.</w:t>
      </w:r>
    </w:p>
    <w:p>
      <w:pPr>
        <w:spacing w:after="80" w:before="80" w:line="320"/>
        <w:ind w:left="720" w:hanging="720"/>
      </w:pPr>
      <w:r>
        <w:rPr>
          <w:rFonts w:ascii="Calibri" w:cs="Calibri" w:eastAsia="Calibri" w:hAnsi="Calibri"/>
          <w:sz w:val="20"/>
          <w:szCs w:val="20"/>
        </w:rPr>
        <w:t xml:space="preserve">Chen, L., Chen, P., &amp; Lin, Z. (2020). Artificial intelligence in education: A review. IEEE Access, 8, 75264–75278. https://doi.org/10.1109/ACCESS.2020.2988510</w:t>
      </w:r>
    </w:p>
    <w:p>
      <w:pPr>
        <w:spacing w:after="80" w:before="80" w:line="320"/>
        <w:ind w:left="720" w:hanging="720"/>
      </w:pPr>
      <w:r>
        <w:rPr>
          <w:rFonts w:ascii="Calibri" w:cs="Calibri" w:eastAsia="Calibri" w:hAnsi="Calibri"/>
          <w:sz w:val="20"/>
          <w:szCs w:val="20"/>
        </w:rPr>
        <w:t xml:space="preserve">Chiu, T. K. F., Moorhouse, B. L., Chai, C. S., &amp; Ismailov, M. (2023). Teacher support and student motivation to learn with Artificial Intelligence (AI) based chatbot. Interactive Learning Environments, 32(7), 1–17. https://doi.org/10.1080/10494820.2023.2172044</w:t>
      </w:r>
    </w:p>
    <w:p>
      <w:pPr>
        <w:spacing w:after="80" w:before="80" w:line="320"/>
        <w:ind w:left="720" w:hanging="720"/>
      </w:pPr>
      <w:r>
        <w:rPr>
          <w:rFonts w:ascii="Calibri" w:cs="Calibri" w:eastAsia="Calibri" w:hAnsi="Calibri"/>
          <w:sz w:val="20"/>
          <w:szCs w:val="20"/>
        </w:rPr>
        <w:t xml:space="preserve">Ng, D. T. K., Tan, C. W., &amp; Leung, J. K. L. (2024). Empowering student self-regulated learning and science education through ChatGPT: A pioneering pilot study. British Journal of Educational Technology, 55(4), 1378–1402. https://doi.org/10.1111/bjet.13454</w:t>
      </w:r>
    </w:p>
    <w:p>
      <w:pPr>
        <w:spacing w:after="80" w:before="80" w:line="320"/>
        <w:ind w:left="720" w:hanging="720"/>
      </w:pPr>
      <w:r>
        <w:rPr>
          <w:rFonts w:ascii="Calibri" w:cs="Calibri" w:eastAsia="Calibri" w:hAnsi="Calibri"/>
          <w:sz w:val="20"/>
          <w:szCs w:val="20"/>
        </w:rPr>
        <w:t xml:space="preserve">Long, D., &amp; Magerko, B. (2020). What is AI literacy? Competencies and design considerations. Proceedings of the 2020 CHI Conference on Human Factors in Computing Systems, 1–16. https://doi.org/10.1145/3313831.3376727</w:t>
      </w:r>
    </w:p>
    <w:p>
      <w:pPr>
        <w:spacing w:after="80" w:before="80" w:line="320"/>
        <w:ind w:left="720" w:hanging="720"/>
      </w:pPr>
      <w:r>
        <w:rPr>
          <w:rFonts w:ascii="Calibri" w:cs="Calibri" w:eastAsia="Calibri" w:hAnsi="Calibri"/>
          <w:sz w:val="20"/>
          <w:szCs w:val="20"/>
        </w:rPr>
        <w:t xml:space="preserve">Wang, B., Rau, P. L. P., &amp; Yuan, T. (2023). Measuring user competence in using artificial intelligence: Validity and reliability of an artificial intelligence literacy scale. Behaviour &amp; Information Technology, 42(9), 1324–1337. https://doi.org/10.1080/0144929X.2022.2072768</w:t>
      </w:r>
    </w:p>
    <w:p>
      <w:pPr>
        <w:pageBreakBefore/>
      </w:pPr>
      <w:r>
        <w:t xml:space="preserve"/>
      </w:r>
    </w:p>
    <w:p>
      <w:pPr>
        <w:pStyle w:val="Heading1"/>
        <w:spacing w:after="160" w:before="320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32"/>
          <w:szCs w:val="32"/>
        </w:rPr>
        <w:t xml:space="preserve">7. 物理 / 工程基礎理論文獻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  <w:color w:val="2E75B6"/>
          <w:sz w:val="26"/>
          <w:szCs w:val="26"/>
        </w:rPr>
        <w:t xml:space="preserve">Physics &amp; Engineering Foundations (本模擬之物理理論依據)</w:t>
      </w:r>
      <w:r>
        <w:rPr>
          <w:rFonts w:ascii="Calibri" w:cs="Calibri" w:eastAsia="Calibri" w:hAnsi="Calibri"/>
          <w:i/>
          <w:iCs/>
          <w:color w:val="808080"/>
          <w:sz w:val="20"/>
          <w:szCs w:val="20"/>
        </w:rPr>
        <w:t xml:space="preserve">   </w:t>
      </w:r>
    </w:p>
    <w:p>
      <w:pPr>
        <w:spacing w:after="80" w:before="80" w:line="320"/>
        <w:ind w:left="720" w:hanging="720"/>
      </w:pPr>
      <w:r>
        <w:rPr>
          <w:rFonts w:ascii="Calibri" w:cs="Calibri" w:eastAsia="Calibri" w:hAnsi="Calibri"/>
          <w:sz w:val="20"/>
          <w:szCs w:val="20"/>
        </w:rPr>
        <w:t xml:space="preserve">Marckmann, G., &amp; Verron, E. (2006). Comparison of hyperelastic models for rubber-like materials. Rubber Chemistry and Technology, 79(5), 835–858. https://doi.org/10.5254/1.3547969</w:t>
      </w:r>
    </w:p>
    <w:p>
      <w:pPr>
        <w:spacing w:after="80" w:before="80" w:line="320"/>
        <w:ind w:left="720" w:hanging="720"/>
      </w:pPr>
      <w:r>
        <w:rPr>
          <w:rFonts w:ascii="Calibri" w:cs="Calibri" w:eastAsia="Calibri" w:hAnsi="Calibri"/>
          <w:sz w:val="20"/>
          <w:szCs w:val="20"/>
        </w:rPr>
        <w:t xml:space="preserve">Mooney, M. (1940). A theory of large elastic deformation. Journal of Applied Physics, 11(9), 582–592. https://doi.org/10.1063/1.1712836</w:t>
      </w:r>
    </w:p>
    <w:p>
      <w:pPr>
        <w:spacing w:after="80" w:before="80" w:line="320"/>
        <w:ind w:left="720" w:hanging="720"/>
      </w:pPr>
      <w:r>
        <w:rPr>
          <w:rFonts w:ascii="Calibri" w:cs="Calibri" w:eastAsia="Calibri" w:hAnsi="Calibri"/>
          <w:sz w:val="20"/>
          <w:szCs w:val="20"/>
        </w:rPr>
        <w:t xml:space="preserve">Rivlin, R. S. (1948). Large elastic deformations of isotropic materials. IV. Further developments of the general theory. Philosophical Transactions of the Royal Society A, 241(835), 379–397. https://doi.org/10.1098/rsta.1948.0024</w:t>
      </w:r>
    </w:p>
    <w:p>
      <w:pPr>
        <w:spacing w:after="80" w:before="80" w:line="320"/>
        <w:ind w:left="720" w:hanging="720"/>
      </w:pPr>
      <w:r>
        <w:rPr>
          <w:rFonts w:ascii="Calibri" w:cs="Calibri" w:eastAsia="Calibri" w:hAnsi="Calibri"/>
          <w:sz w:val="20"/>
          <w:szCs w:val="20"/>
        </w:rPr>
        <w:t xml:space="preserve">Gent, A. N. (1996). A new constitutive relation for rubber. Rubber Chemistry and Technology, 69(1), 59–61. https://doi.org/10.5254/1.3538357</w:t>
      </w:r>
    </w:p>
    <w:p>
      <w:pPr>
        <w:spacing w:after="80" w:before="80" w:line="320"/>
        <w:ind w:left="720" w:hanging="720"/>
      </w:pPr>
      <w:r>
        <w:rPr>
          <w:rFonts w:ascii="Calibri" w:cs="Calibri" w:eastAsia="Calibri" w:hAnsi="Calibri"/>
          <w:sz w:val="20"/>
          <w:szCs w:val="20"/>
        </w:rPr>
        <w:t xml:space="preserve">Pucci, E., &amp; Saccomandi, G. (2002). A note on the Gent model for rubber-like materials. Rubber Chemistry and Technology, 75(5), 839–852. https://doi.org/10.5254/1.3547687</w:t>
      </w:r>
    </w:p>
    <w:p>
      <w:pPr>
        <w:spacing w:after="80" w:before="80" w:line="320"/>
        <w:ind w:left="720" w:hanging="720"/>
      </w:pPr>
      <w:r>
        <w:rPr>
          <w:rFonts w:ascii="Calibri" w:cs="Calibri" w:eastAsia="Calibri" w:hAnsi="Calibri"/>
          <w:sz w:val="20"/>
          <w:szCs w:val="20"/>
        </w:rPr>
        <w:t xml:space="preserve">Treloar, L. R. G. (1975). The physics of rubber elasticity (3rd ed.). Oxford University Press.</w:t>
      </w:r>
    </w:p>
    <w:p>
      <w:pPr>
        <w:spacing w:after="80" w:before="80" w:line="320"/>
        <w:ind w:left="720" w:hanging="720"/>
      </w:pPr>
      <w:r>
        <w:rPr>
          <w:rFonts w:ascii="Calibri" w:cs="Calibri" w:eastAsia="Calibri" w:hAnsi="Calibri"/>
          <w:sz w:val="20"/>
          <w:szCs w:val="20"/>
        </w:rPr>
        <w:t xml:space="preserve">Lautrup, B. (2005). Physics of continuous matter: Exotic and everyday phenomena in the macroscopic world. Institute of Physics Publishing.</w:t>
      </w:r>
    </w:p>
    <w:p>
      <w:pPr>
        <w:pageBreakBefore/>
      </w:pPr>
      <w:r>
        <w:t xml:space="preserve"/>
      </w:r>
    </w:p>
    <w:p>
      <w:pPr>
        <w:pStyle w:val="Heading1"/>
        <w:spacing w:after="160" w:before="320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32"/>
          <w:szCs w:val="32"/>
        </w:rPr>
        <w:t xml:space="preserve">8. 相關方法學工具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  <w:color w:val="2E75B6"/>
          <w:sz w:val="26"/>
          <w:szCs w:val="26"/>
        </w:rPr>
        <w:t xml:space="preserve">Methodological Tools</w:t>
      </w:r>
      <w:r>
        <w:rPr>
          <w:rFonts w:ascii="Calibri" w:cs="Calibri" w:eastAsia="Calibri" w:hAnsi="Calibri"/>
          <w:i/>
          <w:iCs/>
          <w:color w:val="808080"/>
          <w:sz w:val="20"/>
          <w:szCs w:val="20"/>
        </w:rPr>
        <w:t xml:space="preserve">   </w:t>
      </w:r>
    </w:p>
    <w:p>
      <w:pPr>
        <w:spacing w:after="80" w:before="80" w:line="320"/>
        <w:ind w:left="720" w:hanging="720"/>
      </w:pPr>
      <w:r>
        <w:rPr>
          <w:rFonts w:ascii="Calibri" w:cs="Calibri" w:eastAsia="Calibri" w:hAnsi="Calibri"/>
          <w:sz w:val="20"/>
          <w:szCs w:val="20"/>
        </w:rPr>
        <w:t xml:space="preserve">Likert, R. (1932). A technique for the measurement of attitudes. Archives of Psychology, 22(140), 5–55.</w:t>
      </w:r>
    </w:p>
    <w:p>
      <w:pPr>
        <w:spacing w:after="80" w:before="80" w:line="320"/>
        <w:ind w:left="720" w:hanging="720"/>
      </w:pPr>
      <w:r>
        <w:rPr>
          <w:rFonts w:ascii="Calibri" w:cs="Calibri" w:eastAsia="Calibri" w:hAnsi="Calibri"/>
          <w:sz w:val="20"/>
          <w:szCs w:val="20"/>
        </w:rPr>
        <w:t xml:space="preserve">DeVellis, R. F. (2017). Scale development: Theory and applications (4th ed.). SAGE Publications.</w:t>
      </w:r>
    </w:p>
    <w:p>
      <w:pPr>
        <w:spacing w:after="80" w:before="80" w:line="320"/>
        <w:ind w:left="720" w:hanging="720"/>
      </w:pPr>
      <w:r>
        <w:rPr>
          <w:rFonts w:ascii="Calibri" w:cs="Calibri" w:eastAsia="Calibri" w:hAnsi="Calibri"/>
          <w:sz w:val="20"/>
          <w:szCs w:val="20"/>
        </w:rPr>
        <w:t xml:space="preserve">Hair, J. F., Black, W. C., Babin, B. J., &amp; Anderson, R. E. (2019). Multivariate data analysis (8th ed.). Cengage Learning.</w:t>
      </w:r>
    </w:p>
    <w:p>
      <w:pPr>
        <w:spacing w:after="80" w:before="80" w:line="320"/>
        <w:ind w:left="720" w:hanging="720"/>
      </w:pPr>
      <w:r>
        <w:rPr>
          <w:rFonts w:ascii="Calibri" w:cs="Calibri" w:eastAsia="Calibri" w:hAnsi="Calibri"/>
          <w:sz w:val="20"/>
          <w:szCs w:val="20"/>
        </w:rPr>
        <w:t xml:space="preserve">Cronbach, L. J. (1951). Coefficient alpha and the internal structure of tests. Psychometrika, 16(3), 297–334. https://doi.org/10.1007/BF02310555</w:t>
      </w:r>
    </w:p>
    <w:p>
      <w:pPr>
        <w:spacing w:after="80" w:before="80" w:line="320"/>
        <w:ind w:left="720" w:hanging="720"/>
      </w:pPr>
      <w:r>
        <w:rPr>
          <w:rFonts w:ascii="Calibri" w:cs="Calibri" w:eastAsia="Calibri" w:hAnsi="Calibri"/>
          <w:sz w:val="20"/>
          <w:szCs w:val="20"/>
        </w:rPr>
        <w:t xml:space="preserve">American Educational Research Association, American Psychological Association, &amp; National Council on Measurement in Education. (2014). Standards for educational and psychological testing. AERA.</w:t>
      </w:r>
    </w:p>
    <w:p>
      <w:pPr>
        <w:pageBreakBefore/>
      </w:pPr>
      <w:r>
        <w:t xml:space="preserve"/>
      </w:r>
    </w:p>
    <w:p>
      <w:pPr>
        <w:pStyle w:val="Heading1"/>
        <w:spacing w:after="160" w:before="320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32"/>
          <w:szCs w:val="32"/>
        </w:rPr>
        <w:t xml:space="preserve">引用對應總表</w:t>
      </w:r>
    </w:p>
    <w:p>
      <w:pPr>
        <w:spacing w:after="100" w:before="60" w:line="32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以下對應表協助你將問卷中各題的「〔出處：…〕」標註，快速找到本清單對應的完整文獻。</w:t>
      </w:r>
    </w:p>
    <w:p>
      <w: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4200"/>
        <w:gridCol w:w="3560"/>
      </w:tblGrid>
      <w:tr>
        <w:trPr>
          <w:tblHeader/>
        </w:trP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問卷題號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主要文獻 / 引用代號</w:t>
            </w:r>
          </w:p>
        </w:tc>
        <w:tc>
          <w:tcPr>
            <w:tcW w:type="dxa" w:w="3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理論面向</w:t>
            </w:r>
          </w:p>
        </w:tc>
      </w:tr>
      <w:t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B1–B6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Krell &amp; Krüger (2016)</w:t>
            </w:r>
          </w:p>
        </w:tc>
        <w:tc>
          <w:tcPr>
            <w:tcW w:type="dxa" w:w="3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建模五面向</w:t>
            </w:r>
          </w:p>
        </w:tc>
      </w:tr>
      <w:t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B7–B8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Schwarz et al. (2009)</w:t>
            </w:r>
          </w:p>
        </w:tc>
        <w:tc>
          <w:tcPr>
            <w:tcW w:type="dxa" w:w="3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建模學習進程</w:t>
            </w:r>
          </w:p>
        </w:tc>
      </w:tr>
      <w:t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B9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Upmeier zu Belzen et al. (2019)</w:t>
            </w:r>
          </w:p>
        </w:tc>
        <w:tc>
          <w:tcPr>
            <w:tcW w:type="dxa" w:w="3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建模能力理論框架</w:t>
            </w:r>
          </w:p>
        </w:tc>
      </w:tr>
      <w:t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B10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Thomas et al. (2008) – SEMLI-S</w:t>
            </w:r>
          </w:p>
        </w:tc>
        <w:tc>
          <w:tcPr>
            <w:tcW w:type="dxa" w:w="3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後設認知監控</w:t>
            </w:r>
          </w:p>
        </w:tc>
      </w:tr>
      <w:t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B11–B12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Schraw &amp; Dennison (1994) – MAI</w:t>
            </w:r>
          </w:p>
        </w:tc>
        <w:tc>
          <w:tcPr>
            <w:tcW w:type="dxa" w:w="3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後設認知計劃 / 評估</w:t>
            </w:r>
          </w:p>
        </w:tc>
      </w:tr>
      <w:t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C1, C5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Hestenes (1996); Smith et al. (1993)</w:t>
            </w:r>
          </w:p>
        </w:tc>
        <w:tc>
          <w:tcPr>
            <w:tcW w:type="dxa" w:w="3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迷思 / 模型方法論</w:t>
            </w:r>
          </w:p>
        </w:tc>
      </w:tr>
      <w:t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C2–C3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Marckmann &amp; Verron (2006); Gent (1996)</w:t>
            </w:r>
          </w:p>
        </w:tc>
        <w:tc>
          <w:tcPr>
            <w:tcW w:type="dxa" w:w="3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本模擬橡膠模型適用範圍</w:t>
            </w:r>
          </w:p>
        </w:tc>
      </w:tr>
      <w:t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C4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Lederman et al. (2002) – VNOS</w:t>
            </w:r>
          </w:p>
        </w:tc>
        <w:tc>
          <w:tcPr>
            <w:tcW w:type="dxa" w:w="3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暫時性 NoS</w:t>
            </w:r>
          </w:p>
        </w:tc>
      </w:tr>
      <w:t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C6, C8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Schwarz et al. (2009); Halloun (2007)</w:t>
            </w:r>
          </w:p>
        </w:tc>
        <w:tc>
          <w:tcPr>
            <w:tcW w:type="dxa" w:w="3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模型限制 / 假設</w:t>
            </w:r>
          </w:p>
        </w:tc>
      </w:tr>
      <w:t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C7, C9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Hestenes (1992); Justi &amp; Gilbert (2002)</w:t>
            </w:r>
          </w:p>
        </w:tc>
        <w:tc>
          <w:tcPr>
            <w:tcW w:type="dxa" w:w="3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模型轉移 / 教師觀</w:t>
            </w:r>
          </w:p>
        </w:tc>
      </w:tr>
      <w:t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D1–D6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Pedaste et al. (2015)</w:t>
            </w:r>
          </w:p>
        </w:tc>
        <w:tc>
          <w:tcPr>
            <w:tcW w:type="dxa" w:w="3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探究五階段</w:t>
            </w:r>
          </w:p>
        </w:tc>
      </w:tr>
      <w:t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D7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Furtak et al. (2012)</w:t>
            </w:r>
          </w:p>
        </w:tc>
        <w:tc>
          <w:tcPr>
            <w:tcW w:type="dxa" w:w="3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探究教學後設</w:t>
            </w:r>
          </w:p>
        </w:tc>
      </w:tr>
      <w:t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D8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Minner et al. (2010)</w:t>
            </w:r>
          </w:p>
        </w:tc>
        <w:tc>
          <w:tcPr>
            <w:tcW w:type="dxa" w:w="3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探究 vs 講授成效</w:t>
            </w:r>
          </w:p>
        </w:tc>
      </w:tr>
      <w:t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D9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Bell et al. (2010)</w:t>
            </w:r>
          </w:p>
        </w:tc>
        <w:tc>
          <w:tcPr>
            <w:tcW w:type="dxa" w:w="3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合作探究</w:t>
            </w:r>
          </w:p>
        </w:tc>
      </w:tr>
      <w:t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D10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Lazonder &amp; Harmsen (2016)</w:t>
            </w:r>
          </w:p>
        </w:tc>
        <w:tc>
          <w:tcPr>
            <w:tcW w:type="dxa" w:w="3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引導式探究</w:t>
            </w:r>
          </w:p>
        </w:tc>
      </w:tr>
      <w:t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D11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NRC (2013) – NGSS</w:t>
            </w:r>
          </w:p>
        </w:tc>
        <w:tc>
          <w:tcPr>
            <w:tcW w:type="dxa" w:w="3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科學實踐</w:t>
            </w:r>
          </w:p>
        </w:tc>
      </w:tr>
      <w:t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E1, E8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de Jong et al. (2013); de Jong &amp; van Joolingen (1998)</w:t>
            </w:r>
          </w:p>
        </w:tc>
        <w:tc>
          <w:tcPr>
            <w:tcW w:type="dxa" w:w="3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虛擬實驗 / 探索</w:t>
            </w:r>
          </w:p>
        </w:tc>
      </w:tr>
      <w:t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E2, E7, E10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Smetana &amp; Bell (2012)</w:t>
            </w:r>
          </w:p>
        </w:tc>
        <w:tc>
          <w:tcPr>
            <w:tcW w:type="dxa" w:w="3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模擬概念變化</w:t>
            </w:r>
          </w:p>
        </w:tc>
      </w:tr>
      <w:t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E3, E6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Wieman et al. (2008); Wieman &amp; Perkins (2006)</w:t>
            </w:r>
          </w:p>
        </w:tc>
        <w:tc>
          <w:tcPr>
            <w:tcW w:type="dxa" w:w="3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PhET 學習感知</w:t>
            </w:r>
          </w:p>
        </w:tc>
      </w:tr>
      <w:t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E4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Rutten et al. (2012)</w:t>
            </w:r>
          </w:p>
        </w:tc>
        <w:tc>
          <w:tcPr>
            <w:tcW w:type="dxa" w:w="3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模擬學習效應</w:t>
            </w:r>
          </w:p>
        </w:tc>
      </w:tr>
      <w:t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E5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Ainsworth (2006)</w:t>
            </w:r>
          </w:p>
        </w:tc>
        <w:tc>
          <w:tcPr>
            <w:tcW w:type="dxa" w:w="3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多元表徵</w:t>
            </w:r>
          </w:p>
        </w:tc>
      </w:tr>
      <w:t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E9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Chen et al. (2020)</w:t>
            </w:r>
          </w:p>
        </w:tc>
        <w:tc>
          <w:tcPr>
            <w:tcW w:type="dxa" w:w="3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模擬投入度</w:t>
            </w:r>
          </w:p>
        </w:tc>
      </w:tr>
      <w:t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F1–F6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Barnard et al. (2009) – OSLQ</w:t>
            </w:r>
          </w:p>
        </w:tc>
        <w:tc>
          <w:tcPr>
            <w:tcW w:type="dxa" w:w="3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線上 SRL 六向度</w:t>
            </w:r>
          </w:p>
        </w:tc>
      </w:tr>
      <w:t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F7–F8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Pintrich (2004) – MSLQ</w:t>
            </w:r>
          </w:p>
        </w:tc>
        <w:tc>
          <w:tcPr>
            <w:tcW w:type="dxa" w:w="3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後設認知自我調節</w:t>
            </w:r>
          </w:p>
        </w:tc>
      </w:tr>
      <w:t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F9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Zimmerman (2002)</w:t>
            </w:r>
          </w:p>
        </w:tc>
        <w:tc>
          <w:tcPr>
            <w:tcW w:type="dxa" w:w="3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SRL 反思</w:t>
            </w:r>
          </w:p>
        </w:tc>
      </w:tr>
      <w:t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F10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Jansen et al. (2017) – SRL-O</w:t>
            </w:r>
          </w:p>
        </w:tc>
        <w:tc>
          <w:tcPr>
            <w:tcW w:type="dxa" w:w="3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SRL 策略</w:t>
            </w:r>
          </w:p>
        </w:tc>
      </w:tr>
      <w:t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G1–G5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Ng et al. (2024) – AILQ</w:t>
            </w:r>
          </w:p>
        </w:tc>
        <w:tc>
          <w:tcPr>
            <w:tcW w:type="dxa" w:w="3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AI 素養四向度</w:t>
            </w:r>
          </w:p>
        </w:tc>
      </w:tr>
      <w:t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G6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Chiu et al. (2023)</w:t>
            </w:r>
          </w:p>
        </w:tc>
        <w:tc>
          <w:tcPr>
            <w:tcW w:type="dxa" w:w="3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AI 聊天機器人動機</w:t>
            </w:r>
          </w:p>
        </w:tc>
      </w:tr>
      <w:t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G7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Hwang et al. (2020)</w:t>
            </w:r>
          </w:p>
        </w:tc>
        <w:tc>
          <w:tcPr>
            <w:tcW w:type="dxa" w:w="3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教育 AI 整合</w:t>
            </w:r>
          </w:p>
        </w:tc>
      </w:tr>
      <w:t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G8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Holmes et al. (2019)</w:t>
            </w:r>
          </w:p>
        </w:tc>
        <w:tc>
          <w:tcPr>
            <w:tcW w:type="dxa" w:w="3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AIED 個人化</w:t>
            </w:r>
          </w:p>
        </w:tc>
      </w:tr>
    </w:tbl>
    <w:p>
      <w:r>
        <w:t xml:space="preserve"> </w:t>
      </w:r>
    </w:p>
    <w:p>
      <w:pPr>
        <w:spacing w:after="80" w:before="40" w:line="280"/>
      </w:pPr>
      <w:r>
        <w:rPr>
          <w:rFonts w:ascii="Microsoft JhengHei" w:cs="Microsoft JhengHei" w:eastAsia="Microsoft JhengHei" w:hAnsi="Microsoft JhengHei"/>
          <w:i/>
          <w:iCs/>
          <w:color w:val="595959"/>
          <w:sz w:val="18"/>
          <w:szCs w:val="18"/>
        </w:rPr>
        <w:t xml:space="preserve">提醒：實證投稿時請依目標期刊規範微調引用格式（如 IJSE / JRST 偏好作者-年份內文標註；Computers &amp; Education 偏好數字編號等）。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808080"/>
        <w:sz w:val="18"/>
        <w:szCs w:val="18"/>
      </w:rPr>
      <w:t xml:space="preserve">頁 </w:t>
    </w:r>
    <w:r>
      <w:rPr>
        <w:rFonts w:ascii="Calibri" w:cs="Calibri" w:eastAsia="Calibri" w:hAnsi="Calibri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808080"/>
        <w:sz w:val="18"/>
        <w:szCs w:val="18"/>
      </w:rPr>
      <w:t xml:space="preserve"> / </w:t>
    </w:r>
    <w:r>
      <w:rPr>
        <w:rFonts w:ascii="Calibri" w:cs="Calibri" w:eastAsia="Calibri" w:hAnsi="Calibri"/>
        <w:color w:val="808080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JhengHei" w:cs="Microsoft JhengHei" w:eastAsia="Microsoft JhengHei" w:hAnsi="Microsoft JhengHei"/>
        <w:color w:val="808080"/>
        <w:sz w:val="16"/>
        <w:szCs w:val="16"/>
      </w:rPr>
      <w:t xml:space="preserve">問卷參考文獻列表 v1.0｜APA 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Microsoft JhengHei" w:cs="Microsoft JhengHei" w:eastAsia="Microsoft JhengHei" w:hAnsi="Microsoft JhengHe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JhengHei" w:cs="Microsoft JhengHei" w:eastAsia="Microsoft JhengHei" w:hAnsi="Microsoft JhengHei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Questionnaire References (APA 7)</dc:title>
  <dc:creator>aiphysicsteacher</dc:creator>
  <dc:description>彈性力學模擬實驗 — 學習成效問卷之參考文獻列表</dc:description>
  <cp:lastModifiedBy>Un-named</cp:lastModifiedBy>
  <cp:revision>1</cp:revision>
  <dcterms:created xsi:type="dcterms:W3CDTF">2026-04-26T01:24:41.621Z</dcterms:created>
  <dcterms:modified xsi:type="dcterms:W3CDTF">2026-04-26T01:24:41.623Z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