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0C03" w14:textId="77777777" w:rsidR="00A14970" w:rsidRDefault="00000000">
      <w:pPr>
        <w:spacing w:before="1200" w:after="240"/>
        <w:jc w:val="center"/>
      </w:pPr>
      <w:r>
        <w:rPr>
          <w:rFonts w:eastAsia="微軟正黑體"/>
          <w:b/>
          <w:bCs/>
          <w:color w:val="1F4E79"/>
          <w:sz w:val="48"/>
          <w:szCs w:val="48"/>
        </w:rPr>
        <w:t>彈性力學模擬實驗</w:t>
      </w:r>
    </w:p>
    <w:p w14:paraId="3C3AAD46" w14:textId="77777777" w:rsidR="00A14970" w:rsidRDefault="00000000">
      <w:pPr>
        <w:spacing w:after="120"/>
        <w:jc w:val="center"/>
      </w:pPr>
      <w:r>
        <w:rPr>
          <w:rFonts w:eastAsia="微軟正黑體"/>
          <w:b/>
          <w:bCs/>
          <w:color w:val="1F4E79"/>
          <w:sz w:val="40"/>
          <w:szCs w:val="40"/>
        </w:rPr>
        <w:t>學習成效綜合問卷</w:t>
      </w:r>
    </w:p>
    <w:p w14:paraId="32163CA2" w14:textId="77777777" w:rsidR="00A14970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color w:val="595959"/>
        </w:rPr>
        <w:t>Comprehensive Learning Outcome Survey for the Elasticity Simulation Experiment</w:t>
      </w:r>
    </w:p>
    <w:p w14:paraId="1A20E367" w14:textId="77777777" w:rsidR="00A14970" w:rsidRDefault="00000000">
      <w:pPr>
        <w:spacing w:before="300" w:after="120"/>
        <w:jc w:val="center"/>
      </w:pPr>
      <w:r>
        <w:rPr>
          <w:rFonts w:eastAsia="微軟正黑體"/>
        </w:rPr>
        <w:t>── 構面架構 ──</w:t>
      </w:r>
    </w:p>
    <w:p w14:paraId="7AC0A401" w14:textId="77777777" w:rsidR="00A14970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</w:rPr>
        <w:t>Section A</w:t>
      </w:r>
      <w:r>
        <w:rPr>
          <w:rFonts w:eastAsia="微軟正黑體"/>
        </w:rPr>
        <w:t xml:space="preserve"> ── 基本資料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(Demographics)</w:t>
      </w:r>
    </w:p>
    <w:p w14:paraId="4B60C667" w14:textId="77777777" w:rsidR="00A14970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</w:rPr>
        <w:t>Section B</w:t>
      </w:r>
      <w:r>
        <w:rPr>
          <w:rFonts w:eastAsia="微軟正黑體"/>
        </w:rPr>
        <w:t xml:space="preserve"> ── 建模後設認知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(Modeling Metacognition)</w:t>
      </w:r>
    </w:p>
    <w:p w14:paraId="5AA849FD" w14:textId="77777777" w:rsidR="00A14970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</w:rPr>
        <w:t>Section C</w:t>
      </w:r>
      <w:r>
        <w:rPr>
          <w:rFonts w:eastAsia="微軟正黑體"/>
        </w:rPr>
        <w:t xml:space="preserve"> ── 模型應用邊界條件理解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(Boundary Conditions of Model Application)</w:t>
      </w:r>
    </w:p>
    <w:p w14:paraId="052B5052" w14:textId="77777777" w:rsidR="00A14970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</w:rPr>
        <w:t>Section D</w:t>
      </w:r>
      <w:r>
        <w:rPr>
          <w:rFonts w:eastAsia="微軟正黑體"/>
        </w:rPr>
        <w:t xml:space="preserve"> ── 探究學習成效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(Inquiry-Based Learning Effectiveness)</w:t>
      </w:r>
    </w:p>
    <w:p w14:paraId="69B5125C" w14:textId="77777777" w:rsidR="00A14970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</w:rPr>
        <w:t>Section E</w:t>
      </w:r>
      <w:r>
        <w:rPr>
          <w:rFonts w:eastAsia="微軟正黑體"/>
        </w:rPr>
        <w:t xml:space="preserve"> ── 模擬實驗效果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(Simulation Effectiveness)</w:t>
      </w:r>
    </w:p>
    <w:p w14:paraId="628E3294" w14:textId="77777777" w:rsidR="00A14970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</w:rPr>
        <w:t>Section F</w:t>
      </w:r>
      <w:r>
        <w:rPr>
          <w:rFonts w:eastAsia="微軟正黑體"/>
        </w:rPr>
        <w:t xml:space="preserve"> ── 自我調節學習 SRL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(Self-Regulated Learning)</w:t>
      </w:r>
    </w:p>
    <w:p w14:paraId="04374BD5" w14:textId="77777777" w:rsidR="00A14970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</w:rPr>
        <w:t>Section G</w:t>
      </w:r>
      <w:r>
        <w:rPr>
          <w:rFonts w:eastAsia="微軟正黑體"/>
        </w:rPr>
        <w:t xml:space="preserve"> ── AI 與數位學習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(AI &amp; Digital Learning)</w:t>
      </w:r>
    </w:p>
    <w:p w14:paraId="5864EBB7" w14:textId="77777777" w:rsidR="00A14970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</w:rPr>
        <w:t>Section H</w:t>
      </w:r>
      <w:r>
        <w:rPr>
          <w:rFonts w:eastAsia="微軟正黑體"/>
        </w:rPr>
        <w:t xml:space="preserve"> ── 開放式回饋</w:t>
      </w:r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(Open-ended Feedback)</w:t>
      </w:r>
    </w:p>
    <w:p w14:paraId="32B3B44E" w14:textId="77777777" w:rsidR="00A14970" w:rsidRDefault="00A14970">
      <w:pPr>
        <w:pageBreakBefore/>
      </w:pPr>
    </w:p>
    <w:p w14:paraId="3318F299" w14:textId="77777777" w:rsidR="00A14970" w:rsidRDefault="00000000">
      <w:pPr>
        <w:pStyle w:val="1"/>
      </w:pPr>
      <w:r>
        <w:t>填答說明 / Instructions</w:t>
      </w:r>
    </w:p>
    <w:p w14:paraId="5F1F9E63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感謝你完成「彈性力學模擬實驗（彈簧 vs 橡皮筋）」。本問卷用於了解你在模擬中的學習成效與感受，請根據你「真實的感受」作答，沒有對錯之分。</w:t>
      </w:r>
    </w:p>
    <w:p w14:paraId="5B0C2EC1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• 全卷預計填答時間：12–15 分鐘</w:t>
      </w:r>
    </w:p>
    <w:p w14:paraId="7D6A8670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• 共分 8 個構面（含基本資料與開放題），題目採 6 點 Likert 量表</w:t>
      </w:r>
    </w:p>
    <w:p w14:paraId="7AB47F34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• 量表對應：1=非常不同意　2=不同意　3=有點不同意　4=有點同意　5=同意　6=非常同意</w:t>
      </w:r>
    </w:p>
    <w:p w14:paraId="7980EC4B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• 每題後方的「〔出處：…〕」為題目改編所依據的學術文獻，僅供研究紀錄用，作答時可忽略</w:t>
      </w:r>
    </w:p>
    <w:p w14:paraId="61F5E391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• 你的回答將完全匿名，僅作為研究與教學改進使用</w:t>
      </w:r>
    </w:p>
    <w:p w14:paraId="3128284A" w14:textId="77777777" w:rsidR="00A14970" w:rsidRDefault="00000000">
      <w:pPr>
        <w:spacing w:before="40" w:after="60" w:line="280" w:lineRule="auto"/>
      </w:pPr>
      <w:r>
        <w:rPr>
          <w:rFonts w:eastAsia="微軟正黑體"/>
          <w:i/>
          <w:iCs/>
          <w:color w:val="595959"/>
          <w:sz w:val="18"/>
          <w:szCs w:val="18"/>
        </w:rPr>
        <w:t>研究倫理註記：本問卷遵循匿名原則，不收集個人識別資訊，學生可隨時拒答或退出。</w:t>
      </w:r>
    </w:p>
    <w:p w14:paraId="6C9E66F6" w14:textId="77777777" w:rsidR="00A14970" w:rsidRDefault="00A14970">
      <w:pPr>
        <w:pageBreakBefore/>
      </w:pPr>
    </w:p>
    <w:p w14:paraId="13E0E188" w14:textId="77777777" w:rsidR="00A14970" w:rsidRDefault="00000000">
      <w:pPr>
        <w:pStyle w:val="1"/>
      </w:pPr>
      <w:r>
        <w:t>Section A — 基本資料 Demographics</w:t>
      </w:r>
    </w:p>
    <w:p w14:paraId="3538E31E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A1. 年級：□ 國一　□ 國二　□ 國三　□ 高一　□ 高二　□ 高三　□ 其他：________</w:t>
      </w:r>
    </w:p>
    <w:p w14:paraId="626DBF07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A2. 性別：□ 男　□ 女　□ 不願透露　□ 其他</w:t>
      </w:r>
    </w:p>
    <w:p w14:paraId="2746542C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A3. 你之前是否在實驗室實際操作過「彈簧 / 橡皮筋的彈性測量」？　□ 完全沒有　□ 看過老師示範　□ 自己操作過 1–2 次　□ 自己操作過 3 次以上</w:t>
      </w:r>
    </w:p>
    <w:p w14:paraId="5017F3A6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A4. 你過去使用過教學模擬（如 PhET、虛擬實驗室）的頻率：　□ 從未　□ 1–2 次　□ 3–5 次　□ 5 次以上</w:t>
      </w:r>
    </w:p>
    <w:p w14:paraId="41EB1513" w14:textId="77777777" w:rsidR="00A14970" w:rsidRDefault="00000000">
      <w:pPr>
        <w:spacing w:before="60" w:after="60" w:line="320" w:lineRule="auto"/>
      </w:pPr>
      <w:r>
        <w:rPr>
          <w:rFonts w:eastAsia="微軟正黑體"/>
        </w:rPr>
        <w:t>A5. 你過去使用過 AI 工具（如 ChatGPT、Claude）來輔助學習的頻率：　□ 從未　□ 偶爾　□ 每週　□ 每天</w:t>
      </w:r>
    </w:p>
    <w:p w14:paraId="4D711F43" w14:textId="77777777" w:rsidR="00A14970" w:rsidRDefault="00000000">
      <w:pPr>
        <w:pStyle w:val="1"/>
      </w:pPr>
      <w:r>
        <w:t>Section B — 建模後設認知 Modeling Metacognition</w:t>
      </w:r>
    </w:p>
    <w:p w14:paraId="07C92E27" w14:textId="77777777" w:rsidR="00A14970" w:rsidRDefault="00000000">
      <w:pPr>
        <w:spacing w:before="40" w:after="60" w:line="280" w:lineRule="auto"/>
      </w:pPr>
      <w:r>
        <w:rPr>
          <w:rFonts w:eastAsia="微軟正黑體"/>
          <w:i/>
          <w:iCs/>
          <w:color w:val="595959"/>
          <w:sz w:val="18"/>
          <w:szCs w:val="18"/>
        </w:rPr>
        <w:t>理論背景：本構面改編自 Krell &amp; Krüger (2016) 的「Metaknowledge about Models」五面向（Nature / Alternative / Purpose / Testing / Changing），結合 Schwarz et al. (2009) 的科學建模學習進程（Learning Progression），並援引 Schraw &amp; Dennison (1994) MAI 與 Thomas et al. (2008) SEMLI-S 的後設認知題項。</w:t>
      </w:r>
    </w:p>
    <w:p w14:paraId="4BFC355B" w14:textId="77777777" w:rsidR="00A14970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700"/>
        <w:gridCol w:w="700"/>
        <w:gridCol w:w="700"/>
        <w:gridCol w:w="700"/>
        <w:gridCol w:w="700"/>
        <w:gridCol w:w="700"/>
      </w:tblGrid>
      <w:tr w:rsidR="00A14970" w14:paraId="06B16648" w14:textId="77777777" w:rsidTr="00987D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7BDD3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題項內容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125B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1F7F0A92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550E3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D0A1B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4A396807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8B38E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40ED0E5A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C5C46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D181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547E272A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</w:tr>
      <w:tr w:rsidR="00A14970" w14:paraId="4F25DD2D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D7A79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B1. </w:t>
            </w:r>
            <w:r>
              <w:rPr>
                <w:rFonts w:eastAsia="微軟正黑體"/>
                <w:sz w:val="20"/>
                <w:szCs w:val="20"/>
              </w:rPr>
              <w:t>我了解科學模型（如本實驗中的虎克定律 F = kx）只是真實彈性現象的一種「簡化代表」，不是真實本身。</w:t>
            </w:r>
          </w:p>
          <w:p w14:paraId="40405524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〔出處：Krell &amp; Krüger (2016) – Nature of Models〕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0F101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E9C75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690D48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36385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1CB17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D0AA6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67FE964A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626A5" w14:textId="174615C3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B4. </w:t>
            </w:r>
            <w:r>
              <w:rPr>
                <w:rFonts w:eastAsia="微軟正黑體"/>
                <w:sz w:val="20"/>
                <w:szCs w:val="20"/>
              </w:rPr>
              <w:t>我能根據研究目的（描述、解釋、預測），判斷彈性模型適合使用</w:t>
            </w:r>
            <w:r w:rsidR="00324E4F">
              <w:rPr>
                <w:rFonts w:eastAsia="微軟正黑體" w:hint="eastAsia"/>
                <w:sz w:val="20"/>
                <w:szCs w:val="20"/>
              </w:rPr>
              <w:t>的範圍</w:t>
            </w:r>
            <w:r>
              <w:rPr>
                <w:rFonts w:eastAsia="微軟正黑體"/>
                <w:sz w:val="20"/>
                <w:szCs w:val="20"/>
              </w:rPr>
              <w:t>。</w:t>
            </w:r>
          </w:p>
          <w:p w14:paraId="3FB55126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〔出處：Krell &amp; Krüger (2016) – Purpose of Models〕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F6E40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97272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C6D77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45D73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15E15A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72464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1B57BAFD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87654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B5. </w:t>
            </w:r>
            <w:r>
              <w:rPr>
                <w:rFonts w:eastAsia="微軟正黑體"/>
                <w:sz w:val="20"/>
                <w:szCs w:val="20"/>
              </w:rPr>
              <w:t>我了解科學模型必須經過實驗數據的驗證，才能評估它的準確性。</w:t>
            </w:r>
          </w:p>
          <w:p w14:paraId="074043CB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〔出處：Krell &amp; Krüger (2016) – Testing Models〕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757CF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147EEB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9EAEC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5A444F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F684E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55959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228C8B86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D3130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B6. </w:t>
            </w:r>
            <w:r>
              <w:rPr>
                <w:rFonts w:eastAsia="微軟正黑體"/>
                <w:sz w:val="20"/>
                <w:szCs w:val="20"/>
              </w:rPr>
              <w:t>我能說明：當實驗數據與模型不符時，我們應該修改模型而不是無視證據。</w:t>
            </w:r>
          </w:p>
          <w:p w14:paraId="0244B789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lastRenderedPageBreak/>
              <w:t>〔出處：Krell &amp; Krüger (2016) – Changing Models〕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41C5F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lastRenderedPageBreak/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55056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BD1B6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D045DC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14D8CC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BCDD5B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5107A63E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15672" w14:textId="41A1AB3E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B7. </w:t>
            </w:r>
            <w:r>
              <w:rPr>
                <w:rFonts w:eastAsia="微軟正黑體"/>
                <w:sz w:val="20"/>
                <w:szCs w:val="20"/>
              </w:rPr>
              <w:t>在這次模擬中，我能主動思考「我所收集的數據是否支持</w:t>
            </w:r>
            <w:r w:rsidR="00324E4F">
              <w:rPr>
                <w:rFonts w:eastAsia="微軟正黑體" w:hint="eastAsia"/>
                <w:sz w:val="20"/>
                <w:szCs w:val="20"/>
              </w:rPr>
              <w:t>過往所學</w:t>
            </w:r>
            <w:r>
              <w:rPr>
                <w:rFonts w:eastAsia="微軟正黑體"/>
                <w:sz w:val="20"/>
                <w:szCs w:val="20"/>
              </w:rPr>
              <w:t>的模型假設</w:t>
            </w:r>
            <w:r w:rsidR="00324E4F">
              <w:rPr>
                <w:rFonts w:eastAsia="微軟正黑體" w:hint="eastAsia"/>
                <w:sz w:val="20"/>
                <w:szCs w:val="20"/>
              </w:rPr>
              <w:t>如虎克定律</w:t>
            </w:r>
            <w:r>
              <w:rPr>
                <w:rFonts w:eastAsia="微軟正黑體"/>
                <w:sz w:val="20"/>
                <w:szCs w:val="20"/>
              </w:rPr>
              <w:t>」。</w:t>
            </w:r>
          </w:p>
          <w:p w14:paraId="6DEE00D1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〔出處：Schwarz et al. (2009) – Model construction LP Level III〕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A254F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4A2C8D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FEFD8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4FEFD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DB0EAD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2EFF5F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215E9865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18459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B8. </w:t>
            </w:r>
            <w:r>
              <w:rPr>
                <w:rFonts w:eastAsia="微軟正黑體"/>
                <w:sz w:val="20"/>
                <w:szCs w:val="20"/>
              </w:rPr>
              <w:t>我能用我畫出來的圖（質量 vs 全長）來解釋彈簧與橡皮筋行為的不同。</w:t>
            </w:r>
          </w:p>
          <w:p w14:paraId="5CBF0C6B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〔出處：Schwarz et al. (2009) – Model use LP〕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4C46A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3F501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F0002F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643DAA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27E86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0B5F9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65D4E7A1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91642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B9. </w:t>
            </w:r>
            <w:r>
              <w:rPr>
                <w:rFonts w:eastAsia="微軟正黑體"/>
                <w:sz w:val="20"/>
                <w:szCs w:val="20"/>
              </w:rPr>
              <w:t>做完這次模擬實驗後，我比較會主動問自己：「這個模型是怎麼建立出來的？」</w:t>
            </w:r>
          </w:p>
          <w:p w14:paraId="08A7CB54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〔出處：Upmeier zu Belzen et al. (2019) – Modeling competence〕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3017D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0EF05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2708A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83E0B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506B2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2A8FA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68998917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C68A3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B12. </w:t>
            </w:r>
            <w:r>
              <w:rPr>
                <w:rFonts w:eastAsia="微軟正黑體"/>
                <w:sz w:val="20"/>
                <w:szCs w:val="20"/>
              </w:rPr>
              <w:t>做完實驗後，我會回頭檢視我的結論是否真的能從我蒐集到的數據中推得。</w:t>
            </w:r>
          </w:p>
          <w:p w14:paraId="55B707B6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〔出處：Schraw &amp; Dennison (1994) – MAI Evaluation〕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AFAA6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2A2B9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D6C30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03C8F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41902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43517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D01FAB" w14:paraId="432E6BCF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37ED8" w14:textId="77777777" w:rsidR="00D01FAB" w:rsidRDefault="00D01FAB" w:rsidP="00D01FAB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C2. </w:t>
            </w:r>
            <w:r>
              <w:rPr>
                <w:rFonts w:eastAsia="微軟正黑體"/>
                <w:sz w:val="20"/>
                <w:szCs w:val="20"/>
              </w:rPr>
              <w:t>我能說明為什麼橡皮筋在</w:t>
            </w:r>
            <w:r>
              <w:rPr>
                <w:rFonts w:eastAsia="微軟正黑體" w:hint="eastAsia"/>
                <w:sz w:val="20"/>
                <w:szCs w:val="20"/>
              </w:rPr>
              <w:t>極小</w:t>
            </w:r>
            <w:r>
              <w:rPr>
                <w:rFonts w:eastAsia="微軟正黑體"/>
                <w:sz w:val="20"/>
                <w:szCs w:val="20"/>
              </w:rPr>
              <w:t>拉伸時「</w:t>
            </w:r>
            <w:r>
              <w:rPr>
                <w:rFonts w:eastAsia="微軟正黑體" w:hint="eastAsia"/>
                <w:sz w:val="20"/>
                <w:szCs w:val="20"/>
              </w:rPr>
              <w:t>不</w:t>
            </w:r>
            <w:r>
              <w:rPr>
                <w:rFonts w:eastAsia="微軟正黑體"/>
                <w:sz w:val="20"/>
                <w:szCs w:val="20"/>
              </w:rPr>
              <w:t>像」虎克定律。</w:t>
            </w:r>
          </w:p>
          <w:p w14:paraId="25039953" w14:textId="09F5FE63" w:rsidR="00D01FAB" w:rsidRDefault="00D01FAB" w:rsidP="00D01FAB">
            <w:pPr>
              <w:rPr>
                <w:rFonts w:eastAsia="微軟正黑體"/>
                <w:b/>
                <w:bCs/>
                <w:color w:val="1F4E79"/>
                <w:sz w:val="20"/>
                <w:szCs w:val="20"/>
              </w:rPr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〔出處：Marckmann &amp; Verron (2006) – 橡膠超彈性模型 Mooney 適用範圍〕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61DDD6C" w14:textId="3D2CCE3E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C42AAA" w14:textId="7AF0F5CA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AA5789A" w14:textId="09123B59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910724F" w14:textId="1B7B8DA4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FDE351" w14:textId="6DF58AEA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506711E" w14:textId="7FDF3801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</w:tr>
      <w:tr w:rsidR="00D01FAB" w14:paraId="4B29EDE9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46817" w14:textId="77777777" w:rsidR="00D01FAB" w:rsidRDefault="00D01FAB" w:rsidP="00D01FAB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C3. </w:t>
            </w:r>
            <w:r>
              <w:rPr>
                <w:rFonts w:eastAsia="微軟正黑體"/>
                <w:sz w:val="20"/>
                <w:szCs w:val="20"/>
              </w:rPr>
              <w:t>我了解橡皮筋有一個「材料極限」，超過這個範圍它會變得越來越難拉動。</w:t>
            </w:r>
          </w:p>
          <w:p w14:paraId="66EAAADB" w14:textId="59C9F938" w:rsidR="00D01FAB" w:rsidRDefault="00D01FAB" w:rsidP="00D01FAB">
            <w:pPr>
              <w:rPr>
                <w:rFonts w:eastAsia="微軟正黑體"/>
                <w:b/>
                <w:bCs/>
                <w:color w:val="1F4E79"/>
                <w:sz w:val="20"/>
                <w:szCs w:val="20"/>
              </w:rPr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〔出處：Gent (1996) – 鎖鏈延伸極限〕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3A97869" w14:textId="346AC265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7D40B8" w14:textId="7EB0697D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288DE4" w14:textId="50CBE795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D81C67" w14:textId="39800CAE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C65436" w14:textId="007348FB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998FAF" w14:textId="61C36986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</w:tr>
      <w:tr w:rsidR="00D01FAB" w14:paraId="1B12B533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41732" w14:textId="77777777" w:rsidR="00D01FAB" w:rsidRDefault="00D01FAB" w:rsidP="00D01FAB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C5. </w:t>
            </w:r>
            <w:r>
              <w:rPr>
                <w:rFonts w:eastAsia="微軟正黑體"/>
                <w:sz w:val="20"/>
                <w:szCs w:val="20"/>
              </w:rPr>
              <w:t>如果有人說「所有彈性物體都遵守虎克定律」，我能用實驗結果指出這句話的問題。</w:t>
            </w:r>
          </w:p>
          <w:p w14:paraId="2298EC79" w14:textId="37EA8C1E" w:rsidR="00D01FAB" w:rsidRDefault="00D01FAB" w:rsidP="00D01FAB">
            <w:pPr>
              <w:rPr>
                <w:rFonts w:eastAsia="微軟正黑體"/>
                <w:b/>
                <w:bCs/>
                <w:color w:val="1F4E79"/>
                <w:sz w:val="20"/>
                <w:szCs w:val="20"/>
              </w:rPr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Smith &amp; diSessa (1993) – Misconceptions〕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FB495DA" w14:textId="3C0E2228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E5B95E" w14:textId="05412869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051793" w14:textId="2FB7E963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6646BC" w14:textId="3D813902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B45617" w14:textId="2174C47D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57883F" w14:textId="17A2C32F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</w:tr>
      <w:tr w:rsidR="00D01FAB" w14:paraId="083DBACF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69865" w14:textId="77777777" w:rsidR="00D01FAB" w:rsidRDefault="00D01FAB" w:rsidP="00D01FAB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C7. </w:t>
            </w:r>
            <w:r>
              <w:rPr>
                <w:rFonts w:eastAsia="微軟正黑體"/>
                <w:sz w:val="20"/>
                <w:szCs w:val="20"/>
              </w:rPr>
              <w:t>我能舉出至少一個「虎克定律不適用」的真實生活</w:t>
            </w:r>
            <w:r>
              <w:rPr>
                <w:rFonts w:eastAsia="微軟正黑體" w:hint="eastAsia"/>
                <w:sz w:val="20"/>
                <w:szCs w:val="20"/>
              </w:rPr>
              <w:t>例子</w:t>
            </w:r>
            <w:r>
              <w:rPr>
                <w:rFonts w:eastAsia="微軟正黑體"/>
                <w:sz w:val="20"/>
                <w:szCs w:val="20"/>
              </w:rPr>
              <w:t>。</w:t>
            </w:r>
          </w:p>
          <w:p w14:paraId="37BE36FA" w14:textId="15B14EFC" w:rsidR="00D01FAB" w:rsidRDefault="00D01FAB" w:rsidP="00D01FAB">
            <w:pPr>
              <w:rPr>
                <w:rFonts w:eastAsia="微軟正黑體"/>
                <w:b/>
                <w:bCs/>
                <w:color w:val="1F4E79"/>
                <w:sz w:val="20"/>
                <w:szCs w:val="20"/>
              </w:rPr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Hestenes (1992) – Modeling Theory〕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4FD94F" w14:textId="4E2FC96D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505FEC" w14:textId="1A4F3710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7CD1BA" w14:textId="6C0019D5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86A31D" w14:textId="5AEBE2FC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2C6181" w14:textId="266FB8E3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BA58721" w14:textId="2714A00D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</w:tr>
      <w:tr w:rsidR="00D01FAB" w14:paraId="117A57A5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CE66B" w14:textId="77777777" w:rsidR="00D01FAB" w:rsidRDefault="00D01FAB" w:rsidP="00D01FAB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C8. </w:t>
            </w:r>
            <w:r>
              <w:rPr>
                <w:rFonts w:eastAsia="微軟正黑體"/>
                <w:sz w:val="20"/>
                <w:szCs w:val="20"/>
              </w:rPr>
              <w:t>我了解每一個科學模型都有它的「假設前提」，違反前提時模型就會失效。</w:t>
            </w:r>
          </w:p>
          <w:p w14:paraId="4334450E" w14:textId="6A306C96" w:rsidR="00D01FAB" w:rsidRDefault="00D01FAB" w:rsidP="00D01FAB">
            <w:pPr>
              <w:rPr>
                <w:rFonts w:eastAsia="微軟正黑體"/>
                <w:b/>
                <w:bCs/>
                <w:color w:val="1F4E79"/>
                <w:sz w:val="20"/>
                <w:szCs w:val="20"/>
              </w:rPr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〔出處：Halloun (2007) – Modeling Theory〕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4A0A38" w14:textId="5EC2AEE7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76E1E7" w14:textId="6DBCA9C9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1C559C6" w14:textId="79CA6400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B11C855" w14:textId="646B4810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3F690D" w14:textId="02B87598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AE0172" w14:textId="7983EB48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</w:tr>
      <w:tr w:rsidR="00D01FAB" w14:paraId="750D0292" w14:textId="77777777" w:rsidTr="00987D0D">
        <w:tblPrEx>
          <w:tblCellMar>
            <w:top w:w="0" w:type="dxa"/>
            <w:bottom w:w="0" w:type="dxa"/>
          </w:tblCellMar>
        </w:tblPrEx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629A9" w14:textId="77777777" w:rsidR="00D01FAB" w:rsidRDefault="00D01FAB" w:rsidP="00D01FAB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C9. </w:t>
            </w:r>
            <w:r>
              <w:rPr>
                <w:rFonts w:eastAsia="微軟正黑體"/>
                <w:sz w:val="20"/>
                <w:szCs w:val="20"/>
              </w:rPr>
              <w:t>做完這次模擬後，我比較不會把「課本公式」當作絕對真理，而會去思考它的適用條件。</w:t>
            </w:r>
          </w:p>
          <w:p w14:paraId="1D8117A1" w14:textId="1CD91695" w:rsidR="00D01FAB" w:rsidRDefault="00D01FAB" w:rsidP="00D01FAB">
            <w:pPr>
              <w:rPr>
                <w:rFonts w:eastAsia="微軟正黑體"/>
                <w:b/>
                <w:bCs/>
                <w:color w:val="1F4E79"/>
                <w:sz w:val="20"/>
                <w:szCs w:val="20"/>
              </w:rPr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Justi &amp; Gilbert (2002)〕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744849" w14:textId="4F4411F8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4061FB1" w14:textId="017227A5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FA96DA" w14:textId="1367A289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D7A02F6" w14:textId="09D32117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D06212" w14:textId="03A91AA1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14F2A0D" w14:textId="096F5537" w:rsidR="00D01FAB" w:rsidRDefault="00D01FAB" w:rsidP="00D01FAB">
            <w:pPr>
              <w:jc w:val="center"/>
              <w:rPr>
                <w:rFonts w:eastAsia="微軟正黑體"/>
              </w:rPr>
            </w:pPr>
            <w:r>
              <w:rPr>
                <w:rFonts w:eastAsia="微軟正黑體"/>
              </w:rPr>
              <w:t>○</w:t>
            </w:r>
          </w:p>
        </w:tc>
      </w:tr>
    </w:tbl>
    <w:p w14:paraId="6E06CFF1" w14:textId="77777777" w:rsidR="00A14970" w:rsidRDefault="00000000">
      <w:pPr>
        <w:pStyle w:val="1"/>
      </w:pPr>
      <w:r>
        <w:lastRenderedPageBreak/>
        <w:t>Section D — 探究學習成效 Inquiry-Based Learning</w:t>
      </w:r>
    </w:p>
    <w:p w14:paraId="16644884" w14:textId="77777777" w:rsidR="00A14970" w:rsidRDefault="00000000">
      <w:pPr>
        <w:spacing w:before="40" w:after="60" w:line="280" w:lineRule="auto"/>
      </w:pPr>
      <w:r>
        <w:rPr>
          <w:rFonts w:eastAsia="微軟正黑體"/>
          <w:i/>
          <w:iCs/>
          <w:color w:val="595959"/>
          <w:sz w:val="18"/>
          <w:szCs w:val="18"/>
        </w:rPr>
        <w:t>理論背景：採 Pedaste et al. (2015) 探究學習五階段框架（Orientation / Conceptualization / Investigation / Conclusion / Discussion），並援引 Furtak et al. (2012) 與 Minner et al. (2010) 之探究教學成效後設分析、Bell et al. (2010) 合作探究、以及 NGSS 科學實踐能力指標。</w:t>
      </w:r>
    </w:p>
    <w:p w14:paraId="203E9C17" w14:textId="77777777" w:rsidR="00A14970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6"/>
        <w:gridCol w:w="699"/>
        <w:gridCol w:w="699"/>
        <w:gridCol w:w="699"/>
        <w:gridCol w:w="699"/>
        <w:gridCol w:w="699"/>
        <w:gridCol w:w="699"/>
      </w:tblGrid>
      <w:tr w:rsidR="00A14970" w14:paraId="0B99A020" w14:textId="77777777" w:rsidTr="00AF3B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D14F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題項內容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8AF5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7F87A8E0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8B58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C6D17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28F1AEB9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8BEDB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624ECB9F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67A77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4E9B1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3DB60990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</w:tr>
      <w:tr w:rsidR="00A14970" w14:paraId="53934D29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CAA51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D2. </w:t>
            </w:r>
            <w:r>
              <w:rPr>
                <w:rFonts w:eastAsia="微軟正黑體"/>
                <w:sz w:val="20"/>
                <w:szCs w:val="20"/>
              </w:rPr>
              <w:t>我有對「掛上不同質量會發生什麼事」做出預測或假設。</w:t>
            </w:r>
          </w:p>
          <w:p w14:paraId="17FEDE10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〔出處：Pedaste et al. (2015) – Conceptualization (Hypothesis)〕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99D03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D5EE5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24DB4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FC95DF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0E61A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C5351C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76DD5017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3FD81" w14:textId="6731A8C8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D3. </w:t>
            </w:r>
            <w:r>
              <w:rPr>
                <w:rFonts w:eastAsia="微軟正黑體"/>
                <w:sz w:val="20"/>
                <w:szCs w:val="20"/>
              </w:rPr>
              <w:t>我有透過「換不同質量、切換</w:t>
            </w:r>
            <w:r w:rsidR="00AF3BEF">
              <w:rPr>
                <w:rFonts w:eastAsia="微軟正黑體" w:hint="eastAsia"/>
                <w:sz w:val="20"/>
                <w:szCs w:val="20"/>
              </w:rPr>
              <w:t>彈簧單一/並聯</w:t>
            </w:r>
            <w:r>
              <w:rPr>
                <w:rFonts w:eastAsia="微軟正黑體"/>
                <w:sz w:val="20"/>
                <w:szCs w:val="20"/>
              </w:rPr>
              <w:t>模式」主動探索變因之間的關係。</w:t>
            </w:r>
          </w:p>
          <w:p w14:paraId="15210F03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〔出處：Pedaste et al. (2015) – Investigation (Exploration)〕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49B51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6B411E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1EFA9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807DD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68C58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6D86E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22721182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66C15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D4. </w:t>
            </w:r>
            <w:r>
              <w:rPr>
                <w:rFonts w:eastAsia="微軟正黑體"/>
                <w:sz w:val="20"/>
                <w:szCs w:val="20"/>
              </w:rPr>
              <w:t>我能從我記錄的圖表中看出「彈簧 vs 橡皮筋」行為上的差異。</w:t>
            </w:r>
          </w:p>
          <w:p w14:paraId="457D207E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〔出處：Pedaste et al. (2015) – Investigation (Data Interpretation)〕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C546AD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92ED7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AC5C0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5326C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03568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1BD97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1F7F3D95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65DF4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D5. </w:t>
            </w:r>
            <w:r>
              <w:rPr>
                <w:rFonts w:eastAsia="微軟正黑體"/>
                <w:sz w:val="20"/>
                <w:szCs w:val="20"/>
              </w:rPr>
              <w:t>我能根據自己的實驗數據，下出一個有證據支持的結論。</w:t>
            </w:r>
          </w:p>
          <w:p w14:paraId="2E1F162F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〔出處：Pedaste et al. (2015) – Conclusion〕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A2D9E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78F0C3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5D3D5DF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C0A1A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B06751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1C78D2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75BD7FB8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2B27E" w14:textId="746DDCB2" w:rsidR="00A14970" w:rsidRPr="00AF3BEF" w:rsidRDefault="00000000">
            <w:pPr>
              <w:rPr>
                <w:rFonts w:eastAsia="微軟正黑體"/>
                <w:sz w:val="20"/>
                <w:szCs w:val="20"/>
              </w:rPr>
            </w:pPr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D7. </w:t>
            </w:r>
            <w:r>
              <w:rPr>
                <w:rFonts w:eastAsia="微軟正黑體"/>
                <w:sz w:val="20"/>
                <w:szCs w:val="20"/>
              </w:rPr>
              <w:t>這次的探究安排（自己操作、自己記錄、自己分析）</w:t>
            </w:r>
            <w:r w:rsidR="00AF3BEF">
              <w:rPr>
                <w:rFonts w:eastAsia="微軟正黑體" w:hint="eastAsia"/>
                <w:sz w:val="20"/>
                <w:szCs w:val="20"/>
              </w:rPr>
              <w:t>比起老師直接告訴我橡皮筋原理,</w:t>
            </w:r>
            <w:r>
              <w:rPr>
                <w:rFonts w:eastAsia="微軟正黑體"/>
                <w:sz w:val="20"/>
                <w:szCs w:val="20"/>
              </w:rPr>
              <w:t>更</w:t>
            </w:r>
            <w:r w:rsidR="00AF3BEF">
              <w:rPr>
                <w:rFonts w:eastAsia="微軟正黑體" w:hint="eastAsia"/>
                <w:sz w:val="20"/>
                <w:szCs w:val="20"/>
              </w:rPr>
              <w:t>讓我</w:t>
            </w:r>
            <w:r>
              <w:rPr>
                <w:rFonts w:eastAsia="微軟正黑體"/>
                <w:sz w:val="20"/>
                <w:szCs w:val="20"/>
              </w:rPr>
              <w:t>印象深刻。</w:t>
            </w:r>
          </w:p>
          <w:p w14:paraId="52366D2E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〔出處：Furtak et al. (2012) – Inquiry meta-analysis〕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D075CA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7A051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22842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934673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6898C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B9BE1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236B6D04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9A51E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D8. </w:t>
            </w:r>
            <w:r>
              <w:rPr>
                <w:rFonts w:eastAsia="微軟正黑體"/>
                <w:sz w:val="20"/>
                <w:szCs w:val="20"/>
              </w:rPr>
              <w:t>我覺得這種「自己動手做實驗」的方式幫助我真正理解彈性的概念，而不只是背公式。</w:t>
            </w:r>
          </w:p>
          <w:p w14:paraId="15A01956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〔出處：Minner et al. (2010)〕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F8BCE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672DCE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F91699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88D111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D45DA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1A2E3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75454E23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1EA0C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D9. </w:t>
            </w:r>
            <w:r>
              <w:rPr>
                <w:rFonts w:eastAsia="微軟正黑體"/>
                <w:sz w:val="20"/>
                <w:szCs w:val="20"/>
              </w:rPr>
              <w:t>這個模擬讓我能像「真正的科學家」一樣，提出問題、收集證據、做出主張。</w:t>
            </w:r>
          </w:p>
          <w:p w14:paraId="5ABCC605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〔出處：Bell et al. (2010) – Collaborative inquiry〕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058AC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AAAC44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438773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414A6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CFFC5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10E59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17EC82E5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38507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D10. </w:t>
            </w:r>
            <w:r>
              <w:rPr>
                <w:rFonts w:eastAsia="微軟正黑體"/>
                <w:sz w:val="20"/>
                <w:szCs w:val="20"/>
              </w:rPr>
              <w:t>模擬中提供的步驟與限制（10 次 / 30 次紀錄、警告訊息）讓我的探究更有方向、不會迷失。</w:t>
            </w:r>
          </w:p>
          <w:p w14:paraId="13A3688A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Lazonder &amp; Harmsen (2016) – Guided inquiry〕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EE278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6E9AF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B3BCF9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096E5B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F7508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5D8597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5DF5D53A" w14:textId="77777777" w:rsidTr="00AF3BEF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6572B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D11. </w:t>
            </w:r>
            <w:r>
              <w:rPr>
                <w:rFonts w:eastAsia="微軟正黑體"/>
                <w:sz w:val="20"/>
                <w:szCs w:val="20"/>
              </w:rPr>
              <w:t>在這次活動中，我有機會練習「從證據到主張」的科學論證方式。</w:t>
            </w:r>
          </w:p>
          <w:p w14:paraId="5C2AED81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lastRenderedPageBreak/>
              <w:t>〔出處：改編自 NGSS Science Practices〕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5E6426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lastRenderedPageBreak/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D8D7F3F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8575F0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E5E39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58F35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7C487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</w:tbl>
    <w:p w14:paraId="5345A101" w14:textId="77777777" w:rsidR="00A14970" w:rsidRDefault="00000000">
      <w:pPr>
        <w:pStyle w:val="1"/>
      </w:pPr>
      <w:r>
        <w:t>Section E — 模擬實驗效果 Simulation Effectiveness</w:t>
      </w:r>
    </w:p>
    <w:p w14:paraId="313E98A1" w14:textId="77777777" w:rsidR="00A14970" w:rsidRDefault="00000000">
      <w:pPr>
        <w:spacing w:before="40" w:after="60" w:line="280" w:lineRule="auto"/>
      </w:pPr>
      <w:r>
        <w:rPr>
          <w:rFonts w:eastAsia="微軟正黑體"/>
          <w:i/>
          <w:iCs/>
          <w:color w:val="595959"/>
          <w:sz w:val="18"/>
          <w:szCs w:val="18"/>
        </w:rPr>
        <w:t>理論背景：整合 de Jong, Linn &amp; Zacharia (2013) 物理 vs 虛擬實驗室比較、Smetana &amp; Bell (2012) 模擬促進科學概念變化之系統性回顧、Rutten et al. (2012) 模擬學習效應後設分析、以及 PhET 計畫之學生感知量表 (Wieman et al., 2008)。</w:t>
      </w:r>
    </w:p>
    <w:p w14:paraId="4972163B" w14:textId="77777777" w:rsidR="00A14970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5"/>
        <w:gridCol w:w="700"/>
        <w:gridCol w:w="699"/>
        <w:gridCol w:w="699"/>
        <w:gridCol w:w="699"/>
        <w:gridCol w:w="699"/>
        <w:gridCol w:w="699"/>
      </w:tblGrid>
      <w:tr w:rsidR="00A14970" w14:paraId="019A82F8" w14:textId="77777777" w:rsidTr="00D01F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BA2AF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題項內容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CF7D3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132C5B35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3B5FB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91ABA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5963226B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C3C56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7B13846F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C8452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D0A24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2C7AE471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</w:tr>
      <w:tr w:rsidR="00A14970" w14:paraId="466F2B39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F1540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E1. </w:t>
            </w:r>
            <w:r>
              <w:rPr>
                <w:rFonts w:eastAsia="微軟正黑體"/>
                <w:sz w:val="20"/>
                <w:szCs w:val="20"/>
              </w:rPr>
              <w:t>與單純看書比起來，這個模擬讓我更容易「看見」彈性現象到底是怎麼一回事。</w:t>
            </w:r>
          </w:p>
          <w:p w14:paraId="34FEF1B9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〔出處：de Jong et al. (2013) – Virtual Lab〕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8C116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84475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B0B4AC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60FFC3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E4AD3DC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7AE57E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05F17BD4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9F3ED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E2. </w:t>
            </w:r>
            <w:r>
              <w:rPr>
                <w:rFonts w:eastAsia="微軟正黑體"/>
                <w:sz w:val="20"/>
                <w:szCs w:val="20"/>
              </w:rPr>
              <w:t>操作這個模擬幫助我修正了一些我原本對彈簧/橡皮筋的錯誤觀念。</w:t>
            </w:r>
          </w:p>
          <w:p w14:paraId="116F8E89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〔出處：Smetana &amp; Bell (2012) – Conceptual change〕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BBE38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614900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DE547D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000BB0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1495F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BC955E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0351A9F9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81FA0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E3. </w:t>
            </w:r>
            <w:r>
              <w:rPr>
                <w:rFonts w:eastAsia="微軟正黑體"/>
                <w:sz w:val="20"/>
                <w:szCs w:val="20"/>
              </w:rPr>
              <w:t>我覺得這個模擬的圖表（質量 vs 全長）能即時呈現我的操作結果，讓我學得更有感。</w:t>
            </w:r>
          </w:p>
          <w:p w14:paraId="4A520C06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PhET 學習感知 (Wieman &amp; Perkins, 2006)〕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A4264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5D8BC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C7E8D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3B9B7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C8735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FD5FD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29205B5F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26F26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E4. </w:t>
            </w:r>
            <w:r>
              <w:rPr>
                <w:rFonts w:eastAsia="微軟正黑體"/>
                <w:sz w:val="20"/>
                <w:szCs w:val="20"/>
              </w:rPr>
              <w:t>在這個模擬中，我能反覆嘗試不同條件，這是真實實驗器材不容易做到的。</w:t>
            </w:r>
          </w:p>
          <w:p w14:paraId="659EFFC3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〔出處：Rutten et al. (2012) – Simulation learning effects〕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C6CF7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11796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6AF2E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7F47DC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9890AB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6BD6E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069CBB10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E243A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E5. </w:t>
            </w:r>
            <w:r>
              <w:rPr>
                <w:rFonts w:eastAsia="微軟正黑體"/>
                <w:sz w:val="20"/>
                <w:szCs w:val="20"/>
              </w:rPr>
              <w:t>模擬同時提供「視覺化的彈簧/橡皮筋拉伸」與「圖表」，幫助我更快理解兩者的關係。</w:t>
            </w:r>
          </w:p>
          <w:p w14:paraId="0BA0A150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〔出處：Ainsworth (2006) – Multiple representations〕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591E2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E7935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0B64A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20B5B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DE88BB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D44E1F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3DC03005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1067D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E6. </w:t>
            </w:r>
            <w:r>
              <w:rPr>
                <w:rFonts w:eastAsia="微軟正黑體"/>
                <w:sz w:val="20"/>
                <w:szCs w:val="20"/>
              </w:rPr>
              <w:t>整體來說，這個模擬的介面操作起來很順暢、不會卡住。</w:t>
            </w:r>
          </w:p>
          <w:p w14:paraId="1922D3A9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PhET perception (Wieman et al., 2008)〕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81EC39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42B02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C6DA84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DCB3D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EEBD3A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22E53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0022E583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EFCC5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E7. </w:t>
            </w:r>
            <w:r>
              <w:rPr>
                <w:rFonts w:eastAsia="微軟正黑體"/>
                <w:sz w:val="20"/>
                <w:szCs w:val="20"/>
              </w:rPr>
              <w:t>如果只用真實器材做實驗，我可能不容易意識到「彈簧」與「橡皮筋」的根本差異；模擬讓這個差異更明顯。</w:t>
            </w:r>
          </w:p>
          <w:p w14:paraId="2133D9F3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Smetana &amp; Bell (2012)〕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3D049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E5C90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5D156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0A51A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EA5F3C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54613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24823B2D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E8B7E" w14:textId="690C4742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lastRenderedPageBreak/>
              <w:t xml:space="preserve">E9. </w:t>
            </w:r>
            <w:r>
              <w:rPr>
                <w:rFonts w:eastAsia="微軟正黑體"/>
                <w:sz w:val="20"/>
                <w:szCs w:val="20"/>
              </w:rPr>
              <w:t>做這個模擬時，我比上一般</w:t>
            </w:r>
            <w:r w:rsidR="00D01FAB">
              <w:rPr>
                <w:rFonts w:eastAsia="微軟正黑體" w:hint="eastAsia"/>
                <w:sz w:val="20"/>
                <w:szCs w:val="20"/>
              </w:rPr>
              <w:t>物理</w:t>
            </w:r>
            <w:r>
              <w:rPr>
                <w:rFonts w:eastAsia="微軟正黑體"/>
                <w:sz w:val="20"/>
                <w:szCs w:val="20"/>
              </w:rPr>
              <w:t>課更投入、更願意嘗試。</w:t>
            </w:r>
          </w:p>
          <w:p w14:paraId="241A68B2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〔出處：Chen et al. (2020) – Educational simulation engagement〕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42F3B5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039DA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C3892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71583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B51EE8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139767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4B78C2B6" w14:textId="77777777" w:rsidTr="00D01FAB">
        <w:tblPrEx>
          <w:tblCellMar>
            <w:top w:w="0" w:type="dxa"/>
            <w:bottom w:w="0" w:type="dxa"/>
          </w:tblCellMar>
        </w:tblPrEx>
        <w:tc>
          <w:tcPr>
            <w:tcW w:w="51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4EA91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E10. </w:t>
            </w:r>
            <w:r>
              <w:rPr>
                <w:rFonts w:eastAsia="微軟正黑體"/>
                <w:sz w:val="20"/>
                <w:szCs w:val="20"/>
              </w:rPr>
              <w:t>我希望未來其他物理單元（如電路、力學）也能有類似的模擬可以用。</w:t>
            </w:r>
          </w:p>
          <w:p w14:paraId="2A477F83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Smetana &amp; Bell (2012)〕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F39F55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434321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721DE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F3062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4100EF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FCD8BC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</w:tbl>
    <w:p w14:paraId="4FC8B291" w14:textId="77777777" w:rsidR="00A14970" w:rsidRDefault="00000000">
      <w:pPr>
        <w:pStyle w:val="1"/>
      </w:pPr>
      <w:r>
        <w:t>Section G — AI 與數位學習 AI &amp; Digital Learning</w:t>
      </w:r>
    </w:p>
    <w:p w14:paraId="617735D2" w14:textId="77777777" w:rsidR="00A14970" w:rsidRDefault="00000000">
      <w:pPr>
        <w:spacing w:before="40" w:after="60" w:line="280" w:lineRule="auto"/>
      </w:pPr>
      <w:r>
        <w:rPr>
          <w:rFonts w:eastAsia="微軟正黑體"/>
          <w:i/>
          <w:iCs/>
          <w:color w:val="595959"/>
          <w:sz w:val="18"/>
          <w:szCs w:val="18"/>
        </w:rPr>
        <w:t>理論背景：採 Ng et al. (2024) AI Literacy Questionnaire (AILQ) 四向度（Affective / Behavioural / Cognitive / Ethical），並參考 Hwang et al. (2020) 教育 AI 整合研究與 Chiu et al. (2023) AI 聊天機器人學習動機支持、Holmes et al. (2019) AIED 個人化學習觀點。</w:t>
      </w:r>
    </w:p>
    <w:p w14:paraId="3558AEA1" w14:textId="77777777" w:rsidR="00A14970" w:rsidRDefault="00000000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700"/>
        <w:gridCol w:w="700"/>
        <w:gridCol w:w="700"/>
        <w:gridCol w:w="700"/>
        <w:gridCol w:w="700"/>
        <w:gridCol w:w="700"/>
      </w:tblGrid>
      <w:tr w:rsidR="00A14970" w14:paraId="5B58B8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01B33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題項內容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03CA9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1E73DDAA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B740F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05137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07E8AF28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不同意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54E5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有點</w:t>
            </w:r>
          </w:p>
          <w:p w14:paraId="498993FB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EE644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48F9F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非常</w:t>
            </w:r>
          </w:p>
          <w:p w14:paraId="5396CD8F" w14:textId="77777777" w:rsidR="00A14970" w:rsidRDefault="00000000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18"/>
                <w:szCs w:val="18"/>
              </w:rPr>
              <w:t>同意</w:t>
            </w:r>
          </w:p>
        </w:tc>
      </w:tr>
      <w:tr w:rsidR="00A14970" w14:paraId="1096805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B660E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G1. </w:t>
            </w:r>
            <w:r>
              <w:rPr>
                <w:rFonts w:eastAsia="微軟正黑體"/>
                <w:sz w:val="20"/>
                <w:szCs w:val="20"/>
              </w:rPr>
              <w:t>我有信心可以透過這類數位模擬工具來自學新的物理概念。</w:t>
            </w:r>
          </w:p>
          <w:p w14:paraId="65A71228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〔出處：Ng et al. (2024) – AILQ Affective (Self-efficacy)〕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70781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6BC42A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56E0C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F93A4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3CD043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E0E95D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77E54CC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573F8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G2. </w:t>
            </w:r>
            <w:r>
              <w:rPr>
                <w:rFonts w:eastAsia="微軟正黑體"/>
                <w:sz w:val="20"/>
                <w:szCs w:val="20"/>
              </w:rPr>
              <w:t>結合 AI / 數位工具的學習方式讓我比傳統教學更有興趣。</w:t>
            </w:r>
          </w:p>
          <w:p w14:paraId="49FEFB69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〔出處：Ng et al. (2024) – AILQ Affective (Motivation)〕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FFD0F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200B48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1A713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7714F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06C1F7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F0041B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67AC32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FB66D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G3. </w:t>
            </w:r>
            <w:r>
              <w:rPr>
                <w:rFonts w:eastAsia="微軟正黑體"/>
                <w:sz w:val="20"/>
                <w:szCs w:val="20"/>
              </w:rPr>
              <w:t>我會主動嘗試使用 AI 工具（如 ChatGPT）來解釋我在模擬中觀察到的現象。</w:t>
            </w:r>
          </w:p>
          <w:p w14:paraId="7FC653BA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〔出處：Ng et al. (2024) – AILQ Behavioural〕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687087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55DC8C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EC4FA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B7F5C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5CE42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3A8A41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48D1E62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32218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G4. </w:t>
            </w:r>
            <w:r>
              <w:rPr>
                <w:rFonts w:eastAsia="微軟正黑體"/>
                <w:sz w:val="20"/>
                <w:szCs w:val="20"/>
              </w:rPr>
              <w:t>我了解 AI 給的解釋「不一定每次都對」，我需要自己用數據驗證。</w:t>
            </w:r>
          </w:p>
          <w:p w14:paraId="7D0FD64C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〔出處：Ng et al. (2024) – AILQ Cognitive〕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9D0ACF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B481F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9E9ACC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95366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B55533A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66C649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3542CB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6C43A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G5. </w:t>
            </w:r>
            <w:r>
              <w:rPr>
                <w:rFonts w:eastAsia="微軟正黑體"/>
                <w:sz w:val="20"/>
                <w:szCs w:val="20"/>
              </w:rPr>
              <w:t>我了解使用 AI 學習時，「直接抄答案」與「請 AI 幫我理解」是兩件不同的事。</w:t>
            </w:r>
          </w:p>
          <w:p w14:paraId="6252B40B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〔出處：Ng et al. (2024) – AILQ Ethical〕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9D1F51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6B37CAC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C290C0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937ED6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9BE948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551269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313C89F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C4446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G6. </w:t>
            </w:r>
            <w:r>
              <w:rPr>
                <w:rFonts w:eastAsia="微軟正黑體"/>
                <w:sz w:val="20"/>
                <w:szCs w:val="20"/>
              </w:rPr>
              <w:t>如果有 AI 助教在我做模擬時可以「即時回答我的疑</w:t>
            </w:r>
            <w:r>
              <w:rPr>
                <w:rFonts w:eastAsia="微軟正黑體"/>
                <w:sz w:val="20"/>
                <w:szCs w:val="20"/>
              </w:rPr>
              <w:lastRenderedPageBreak/>
              <w:t>問」，會讓我更願意深入探究。</w:t>
            </w:r>
          </w:p>
          <w:p w14:paraId="46241383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Chiu et al. (2023) – Teacher support for AI chatbot motivation〕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0D598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lastRenderedPageBreak/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82FD70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58D25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89AF7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1E397B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90132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55F4B3B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6137C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G7. </w:t>
            </w:r>
            <w:r>
              <w:rPr>
                <w:rFonts w:eastAsia="微軟正黑體"/>
                <w:sz w:val="20"/>
                <w:szCs w:val="20"/>
              </w:rPr>
              <w:t>我認為這種「模擬 + 數據紀錄 + 趨勢分析」的數位學習，比單純翻課本更能培養我的科學思考。</w:t>
            </w:r>
          </w:p>
          <w:p w14:paraId="04A669D2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〔出處：改編自 Hwang et al. (2020) – AI in education〕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F3654CF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6079E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3100D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FADA6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69888A4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BEC767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  <w:tr w:rsidR="00A14970" w14:paraId="112C96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FC369" w14:textId="77777777" w:rsidR="00A14970" w:rsidRDefault="00000000">
            <w:r>
              <w:rPr>
                <w:rFonts w:eastAsia="微軟正黑體"/>
                <w:b/>
                <w:bCs/>
                <w:color w:val="1F4E79"/>
                <w:sz w:val="20"/>
                <w:szCs w:val="20"/>
              </w:rPr>
              <w:t xml:space="preserve">G8. </w:t>
            </w:r>
            <w:r>
              <w:rPr>
                <w:rFonts w:eastAsia="微軟正黑體"/>
                <w:sz w:val="20"/>
                <w:szCs w:val="20"/>
              </w:rPr>
              <w:t>我認為未來如果學習平台能根據我的數據自動「給我個人化的建議」，我會更願意使用。</w:t>
            </w:r>
          </w:p>
          <w:p w14:paraId="371848A5" w14:textId="77777777" w:rsidR="00A14970" w:rsidRDefault="00000000">
            <w:pPr>
              <w:spacing w:before="30"/>
            </w:pPr>
            <w:r>
              <w:rPr>
                <w:rFonts w:eastAsia="微軟正黑體"/>
                <w:i/>
                <w:iCs/>
                <w:color w:val="808080"/>
                <w:sz w:val="16"/>
                <w:szCs w:val="16"/>
              </w:rPr>
              <w:t>〔出處：Holmes et al. (2019) – AIED〕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9A7AFF1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158DC2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2EC4A2E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DE6A68C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490088D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4A4CBD6" w14:textId="77777777" w:rsidR="00A14970" w:rsidRDefault="00000000">
            <w:pPr>
              <w:jc w:val="center"/>
            </w:pPr>
            <w:r>
              <w:rPr>
                <w:rFonts w:eastAsia="微軟正黑體"/>
              </w:rPr>
              <w:t>○</w:t>
            </w:r>
          </w:p>
        </w:tc>
      </w:tr>
    </w:tbl>
    <w:p w14:paraId="44D03D98" w14:textId="4EBFC2C6" w:rsidR="00A14970" w:rsidRDefault="00A14970" w:rsidP="00F00277">
      <w:pPr>
        <w:spacing w:before="40" w:after="60" w:line="280" w:lineRule="auto"/>
        <w:rPr>
          <w:rFonts w:hint="eastAsia"/>
        </w:rPr>
      </w:pPr>
    </w:p>
    <w:sectPr w:rsidR="00A1497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DCDC" w14:textId="77777777" w:rsidR="0044404A" w:rsidRDefault="0044404A">
      <w:r>
        <w:separator/>
      </w:r>
    </w:p>
  </w:endnote>
  <w:endnote w:type="continuationSeparator" w:id="0">
    <w:p w14:paraId="491BDEF7" w14:textId="77777777" w:rsidR="0044404A" w:rsidRDefault="00444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9FBA" w14:textId="77777777" w:rsidR="00A14970" w:rsidRDefault="00000000">
    <w:pPr>
      <w:jc w:val="center"/>
    </w:pPr>
    <w:r>
      <w:rPr>
        <w:rFonts w:eastAsia="微軟正黑體"/>
        <w:color w:val="808080"/>
        <w:sz w:val="18"/>
        <w:szCs w:val="18"/>
      </w:rPr>
      <w:t xml:space="preserve">頁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PAGE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324E4F">
      <w:rPr>
        <w:rFonts w:ascii="Calibri" w:eastAsia="Calibri" w:hAnsi="Calibri" w:cs="Calibri"/>
        <w:noProof/>
        <w:color w:val="808080"/>
        <w:sz w:val="18"/>
        <w:szCs w:val="18"/>
      </w:rPr>
      <w:t>1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  <w:r>
      <w:rPr>
        <w:rFonts w:ascii="Calibri" w:eastAsia="Calibri" w:hAnsi="Calibri" w:cs="Calibri"/>
        <w:color w:val="808080"/>
        <w:sz w:val="18"/>
        <w:szCs w:val="18"/>
      </w:rPr>
      <w:t xml:space="preserve"> / </w:t>
    </w:r>
    <w:r>
      <w:rPr>
        <w:rFonts w:ascii="Calibri" w:eastAsia="Calibri" w:hAnsi="Calibri" w:cs="Calibri"/>
        <w:color w:val="808080"/>
        <w:sz w:val="18"/>
        <w:szCs w:val="18"/>
      </w:rPr>
      <w:fldChar w:fldCharType="begin"/>
    </w:r>
    <w:r>
      <w:rPr>
        <w:rFonts w:ascii="Calibri" w:eastAsia="Calibri" w:hAnsi="Calibri" w:cs="Calibri"/>
        <w:color w:val="808080"/>
        <w:sz w:val="18"/>
        <w:szCs w:val="18"/>
      </w:rPr>
      <w:instrText>NUMPAGES</w:instrText>
    </w:r>
    <w:r>
      <w:rPr>
        <w:rFonts w:ascii="Calibri" w:eastAsia="Calibri" w:hAnsi="Calibri" w:cs="Calibri"/>
        <w:color w:val="808080"/>
        <w:sz w:val="18"/>
        <w:szCs w:val="18"/>
      </w:rPr>
      <w:fldChar w:fldCharType="separate"/>
    </w:r>
    <w:r w:rsidR="00324E4F">
      <w:rPr>
        <w:rFonts w:ascii="Calibri" w:eastAsia="Calibri" w:hAnsi="Calibri" w:cs="Calibri"/>
        <w:noProof/>
        <w:color w:val="808080"/>
        <w:sz w:val="18"/>
        <w:szCs w:val="18"/>
      </w:rPr>
      <w:t>2</w:t>
    </w:r>
    <w:r>
      <w:rPr>
        <w:rFonts w:ascii="Calibri" w:eastAsia="Calibri" w:hAnsi="Calibri" w:cs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B468" w14:textId="77777777" w:rsidR="0044404A" w:rsidRDefault="0044404A">
      <w:r>
        <w:separator/>
      </w:r>
    </w:p>
  </w:footnote>
  <w:footnote w:type="continuationSeparator" w:id="0">
    <w:p w14:paraId="1D971984" w14:textId="77777777" w:rsidR="0044404A" w:rsidRDefault="00444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CFDC1" w14:textId="77777777" w:rsidR="00A14970" w:rsidRDefault="00000000">
    <w:pPr>
      <w:jc w:val="right"/>
    </w:pPr>
    <w:r>
      <w:rPr>
        <w:rFonts w:eastAsia="微軟正黑體"/>
        <w:color w:val="808080"/>
        <w:sz w:val="16"/>
        <w:szCs w:val="16"/>
      </w:rPr>
      <w:t>彈性力學模擬｜學習成效問卷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53758"/>
    <w:multiLevelType w:val="hybridMultilevel"/>
    <w:tmpl w:val="75E68254"/>
    <w:lvl w:ilvl="0" w:tplc="33EE926A">
      <w:start w:val="1"/>
      <w:numFmt w:val="bullet"/>
      <w:lvlText w:val="●"/>
      <w:lvlJc w:val="left"/>
      <w:pPr>
        <w:ind w:left="720" w:hanging="360"/>
      </w:pPr>
    </w:lvl>
    <w:lvl w:ilvl="1" w:tplc="8C2ABF78">
      <w:start w:val="1"/>
      <w:numFmt w:val="bullet"/>
      <w:lvlText w:val="○"/>
      <w:lvlJc w:val="left"/>
      <w:pPr>
        <w:ind w:left="1440" w:hanging="360"/>
      </w:pPr>
    </w:lvl>
    <w:lvl w:ilvl="2" w:tplc="19A64DC2">
      <w:start w:val="1"/>
      <w:numFmt w:val="bullet"/>
      <w:lvlText w:val="■"/>
      <w:lvlJc w:val="left"/>
      <w:pPr>
        <w:ind w:left="2160" w:hanging="360"/>
      </w:pPr>
    </w:lvl>
    <w:lvl w:ilvl="3" w:tplc="82ECF94A">
      <w:start w:val="1"/>
      <w:numFmt w:val="bullet"/>
      <w:lvlText w:val="●"/>
      <w:lvlJc w:val="left"/>
      <w:pPr>
        <w:ind w:left="2880" w:hanging="360"/>
      </w:pPr>
    </w:lvl>
    <w:lvl w:ilvl="4" w:tplc="1B029E7C">
      <w:start w:val="1"/>
      <w:numFmt w:val="bullet"/>
      <w:lvlText w:val="○"/>
      <w:lvlJc w:val="left"/>
      <w:pPr>
        <w:ind w:left="3600" w:hanging="360"/>
      </w:pPr>
    </w:lvl>
    <w:lvl w:ilvl="5" w:tplc="64B4CF34">
      <w:start w:val="1"/>
      <w:numFmt w:val="bullet"/>
      <w:lvlText w:val="■"/>
      <w:lvlJc w:val="left"/>
      <w:pPr>
        <w:ind w:left="4320" w:hanging="360"/>
      </w:pPr>
    </w:lvl>
    <w:lvl w:ilvl="6" w:tplc="B5C248B8">
      <w:start w:val="1"/>
      <w:numFmt w:val="bullet"/>
      <w:lvlText w:val="●"/>
      <w:lvlJc w:val="left"/>
      <w:pPr>
        <w:ind w:left="5040" w:hanging="360"/>
      </w:pPr>
    </w:lvl>
    <w:lvl w:ilvl="7" w:tplc="2D30D4C0">
      <w:start w:val="1"/>
      <w:numFmt w:val="bullet"/>
      <w:lvlText w:val="●"/>
      <w:lvlJc w:val="left"/>
      <w:pPr>
        <w:ind w:left="5760" w:hanging="360"/>
      </w:pPr>
    </w:lvl>
    <w:lvl w:ilvl="8" w:tplc="56CAF392">
      <w:start w:val="1"/>
      <w:numFmt w:val="bullet"/>
      <w:lvlText w:val="●"/>
      <w:lvlJc w:val="left"/>
      <w:pPr>
        <w:ind w:left="6480" w:hanging="360"/>
      </w:pPr>
    </w:lvl>
  </w:abstractNum>
  <w:num w:numId="1" w16cid:durableId="290132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970"/>
    <w:rsid w:val="00324E4F"/>
    <w:rsid w:val="0044404A"/>
    <w:rsid w:val="008B2547"/>
    <w:rsid w:val="00987D0D"/>
    <w:rsid w:val="00A14970"/>
    <w:rsid w:val="00AF3BEF"/>
    <w:rsid w:val="00B06CFB"/>
    <w:rsid w:val="00D01FAB"/>
    <w:rsid w:val="00D55B77"/>
    <w:rsid w:val="00F0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523CF"/>
  <w15:docId w15:val="{DCB37B8B-0772-4B24-B332-6552D2AD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微軟正黑體"/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20" w:after="120"/>
      <w:outlineLvl w:val="1"/>
    </w:pPr>
    <w:rPr>
      <w:rFonts w:eastAsia="微軟正黑體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rFonts w:eastAsia="微軟正黑體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55B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55B7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55B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55B7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8</Pages>
  <Words>933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Elasticity Simulation Learning Outcome Questionnaire</dc:title>
  <dc:creator>aiphysicsteacher</dc:creator>
  <dc:description>彈性力學模擬實驗 — 學習成效綜合問卷</dc:description>
  <cp:lastModifiedBy>長屹 江</cp:lastModifiedBy>
  <cp:revision>5</cp:revision>
  <dcterms:created xsi:type="dcterms:W3CDTF">2026-04-26T01:21:00Z</dcterms:created>
  <dcterms:modified xsi:type="dcterms:W3CDTF">2026-04-28T03:31:00Z</dcterms:modified>
</cp:coreProperties>
</file>