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氣候韌性實驗室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科學模型文獻參考清單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Climate Resilience Lab — Scientific Reference List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本清單彙整《氣候韌性實驗室》模擬引擎所依據的權威框架、同儕審查文獻與官方資料來源，並標註每筆文獻在模型中的具體用途。對應的程式碼實作見 src/game/simulation/scienceModel.ts，設計說明見 docs/science-model-redesign.md。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一、風險框架（總體架構）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文獻（APA 7th）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在模型中的用途 / 對應指標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IPCC. (2022). Climate Change 2022: Impacts, Adaptation and Vulnerability. Contribution of Working Group II to the Sixth Assessment Report (AR6). Cambridge University Press.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全模型總體架構：風險 = f(危害 Hazard, 暴露 Exposure, 脆弱度 Vulnerability)。街區指標依此三層拆解。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二、都市熱島與熱風險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文獻（APA 7th）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在模型中的用途 / 對應指標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Ziter, C. D., Pedersen, E. J., Kucharik, C. J., &amp; Turner, M. G. (2019). Scale-dependent interactions between tree canopy cover and impervious surfaces reduce daytime urban heat during summer. PNAS, 116(15), 7575–7580.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UHI 升溫實證係數：樹冠 +10% ≈ −2.5°C、不透水 +10% ≈ +1.87°C。對應 UHI_CANOPY_C_PER_FRACTION 與 UHI_IMPERV_C_PER_FRACTION。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Manoli, G., Fatichi, S., Schläpfer, M., Yu, K., Crowther, T. W., Meili, N., Burlando, P., Katul, G. G., &amp; Bou-Zeid, E. (2019). Magnitude of urban heat islands largely explained by climate and population. Nature, 573, 55–60.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UHI 量值由氣候與人口解釋、蒸散機制；支持以氣候訊號 + 街區特性合成熱危害。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Reid, C. E., et al. (2009). Mapping community determinants of heat vulnerability. Environmental Health Perspectives, 117(11), 1730–1736.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Heat Vulnerability Index 變數選擇（綠覆、不透水、降溫可及性、社經脆弱）；支持熱脆弱度因子設計。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交通部中央氣象署（CWA）。高溫資訊作業規範（日最高溫 ≥36°C 提醒；≥38°C 或連續 3 日 ≥36°C 警示）。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高溫日門檻：CWA_HEAT_DAY_THRESHOLD_C = 36；取代舊版 35°C。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World Meteorological Organization (WMO). Definition of tropical night (daily minimum temperature ≥ 20°C; 亞熱帶都市常用 25°C).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熱夜門檻：TROPICAL_NIGHT_THRESHOLD_C = 25；取代舊版 26°C。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三、空氣品質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文獻（APA 7th）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在模型中的用途 / 對應指標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U.S. Environmental Protection Agency. (2024). Final Updates to the Air Quality Index (AQI) for Particulate Matter (effective May 6, 2024). EPA.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PM2.5 24 小時 AQI breakpoints（9.0 / 35.4 / 55.4 / 125.4 / 225.4 / 325.4）與內插公式；對應 aqiFromPm25()，取代舊版 pm25×2.1 線性誤用。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World Health Organization. (2021). WHO global air quality guidelines: Particulate matter (PM2.5 and PM10), ozone, nitrogen dioxide, sulfur dioxide and carbon monoxide. WHO.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PM2.5 健康目標線（年均 5、24h 15 µg/m³），作為 UI 標註與健康解讀基準。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四、洪水與水文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文獻（APA 7th）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在模型中的用途 / 對應指標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Kuichling, E. (1889). The relation between the rainfall and the discharge of sewers in populous districts. Transactions of ASCE, 20, 1–56.（合理化公式 Rational Method 原始文獻）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逕流係數概念 C；對應 runoffCoefficient = 0.05 + 0.85·imperviousness。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USDA Natural Resources Conservation Service. (1986). Urban Hydrology for Small Watersheds (TR-55). USDA-NRCS.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SCS-CN 都市逕流概念，支持「不透水面 → 地表逕流 → 洪峰」的危害放大邏輯。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五、永續發展目標（SDGs）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文獻（APA 7th）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在模型中的用途 / 對應指標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United Nations. (2015). Transforming our world: The 2030 Agenda for Sustainable Development (A/RES/70/1). UN General Assembly.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SDG 綜合分數涵蓋 SDG 3, 6, 7, 9, 10, 11, 12, 13, 15；政策卡與目標對齊。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六、即時資料來源（API）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模型可選用以下公開 API 取得真實氣候/環境資料，缺值時以台北本地基準補值（並在來源面板顯示「實測 vs 補值」，用於教資料不確定性）。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Open-Meteo Historical Weather API（暖季均溫、熱浪日、熱夜日、強降雨日、月雨量） </w:t>
      </w:r>
      <w:hyperlink w:history="1" r:id="rIdjqrbxrhrmlvbnal6g5u9q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https://open-meteo.com/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NASA POWER（太陽輻射 ALLSKY_SFC_SW_DWN、暖季均溫與降雨補充） </w:t>
      </w:r>
      <w:hyperlink w:history="1" r:id="rIdrxhz_amtk-g0-xfwt5wpw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https://power.larc.nasa.gov/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World Bank Indicators API（人口 SP.POP.TOTL、都市人口比 SP.URB.TOTL.IN.ZS） </w:t>
      </w:r>
      <w:hyperlink w:history="1" r:id="rIdyur3jvthh9gf8dkoler_s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https://data.worldbank.org/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OpenAQ v3（PM2.5 即時測站資料） </w:t>
      </w:r>
      <w:hyperlink w:history="1" r:id="rId8hkkawcxbdlq_aqc1avmf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https://openaq.org/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• UNSD SDG Indicators API（SDG 指標清單） </w:t>
      </w:r>
      <w:hyperlink w:history="1" r:id="rIdazvqqdpbboaog1xutn05p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https://unstats.un.org/sdgs/</w:t>
        </w:r>
      </w:hyperlink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附註：模型定位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sz w:val="22"/>
          <w:szCs w:val="22"/>
        </w:rPr>
        <w:t xml:space="preserve">上述係數為「教學一階近似」：目標是方向正確、可解釋、與權威門檻一致，而非工程級水文/空品數值模式。此定位符合科學建模教學中「理想模型 → 真實模型」的學習進程，並可作為學生 CER（主張–證據–推理）論證的資料基礎。</w:t>
      </w:r>
    </w:p>
    <w:p>
      <w:pPr>
        <w:spacing w:before="240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產生日期：2026-06-10　|　作者：aiphysicsteacher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JhengHei" w:cs="Microsoft JhengHei" w:eastAsia="Microsoft JhengHei" w:hAnsi="Microsoft Jheng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JhengHei" w:cs="Microsoft JhengHei" w:eastAsia="Microsoft JhengHei" w:hAnsi="Microsoft JhengHe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qrbxrhrmlvbnal6g5u9q" Type="http://schemas.openxmlformats.org/officeDocument/2006/relationships/hyperlink" Target="https://open-meteo.com/" TargetMode="External"/><Relationship Id="rIdrxhz_amtk-g0-xfwt5wpw" Type="http://schemas.openxmlformats.org/officeDocument/2006/relationships/hyperlink" Target="https://power.larc.nasa.gov/" TargetMode="External"/><Relationship Id="rIdyur3jvthh9gf8dkoler_s" Type="http://schemas.openxmlformats.org/officeDocument/2006/relationships/hyperlink" Target="https://data.worldbank.org/" TargetMode="External"/><Relationship Id="rId8hkkawcxbdlq_aqc1avmf" Type="http://schemas.openxmlformats.org/officeDocument/2006/relationships/hyperlink" Target="https://openaq.org/" TargetMode="External"/><Relationship Id="rIdazvqqdpbboaog1xutn05p" Type="http://schemas.openxmlformats.org/officeDocument/2006/relationships/hyperlink" Target="https://unstats.un.org/sdgs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2026-06-09T17:24:54.570Z</dcterms:created>
  <dcterms:modified xsi:type="dcterms:W3CDTF">2026-06-09T17:24:54.570Z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