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CF3AB">
      <w:pPr>
        <w:spacing w:after="80" w:line="312" w:lineRule="auto"/>
        <w:jc w:val="center"/>
      </w:pPr>
      <w:bookmarkStart w:id="0" w:name="_GoBack"/>
      <w:bookmarkEnd w:id="0"/>
      <w:r>
        <w:rPr>
          <w:rFonts w:hint="eastAsia" w:ascii="微软雅黑" w:hAnsi="微软雅黑" w:eastAsia="微软雅黑"/>
          <w:b/>
          <w:color w:val="0F4C81"/>
          <w:sz w:val="34"/>
        </w:rPr>
        <w:t>关于《供应链模式讨论》的反馈与验证方案建议</w:t>
      </w:r>
    </w:p>
    <w:p w14:paraId="5E3560DB">
      <w:pPr>
        <w:spacing w:after="280" w:line="312" w:lineRule="auto"/>
        <w:jc w:val="center"/>
      </w:pPr>
      <w:r>
        <w:rPr>
          <w:rFonts w:hint="eastAsia" w:ascii="微软雅黑" w:hAnsi="微软雅黑" w:eastAsia="微软雅黑"/>
          <w:b w:val="0"/>
          <w:color w:val="6B7280"/>
          <w:sz w:val="23"/>
        </w:rPr>
        <w:t>——把“第二曲线”从战略结论改写为可验证的联合经营实验</w:t>
      </w:r>
    </w:p>
    <w:p w14:paraId="09FF4408">
      <w:pPr>
        <w:spacing w:after="320" w:line="312" w:lineRule="auto"/>
        <w:jc w:val="center"/>
      </w:pPr>
      <w:r>
        <w:rPr>
          <w:rFonts w:hint="eastAsia" w:ascii="微软雅黑" w:hAnsi="微软雅黑" w:eastAsia="微软雅黑"/>
          <w:b w:val="0"/>
          <w:color w:val="6B7280"/>
          <w:sz w:val="18"/>
          <w:lang w:val="en-US" w:eastAsia="zh-CN"/>
        </w:rPr>
        <w:t>袁</w:t>
      </w:r>
      <w:r>
        <w:rPr>
          <w:rFonts w:hint="eastAsia" w:ascii="微软雅黑" w:hAnsi="微软雅黑" w:eastAsia="微软雅黑"/>
          <w:b w:val="0"/>
          <w:color w:val="6B7280"/>
          <w:sz w:val="18"/>
        </w:rPr>
        <w:t>慧茹 ｜ 2026-08-20 ｜</w:t>
      </w:r>
    </w:p>
    <w:p w14:paraId="5494E889">
      <w:pPr>
        <w:pStyle w:val="3"/>
        <w:keepNext/>
        <w:pBdr>
          <w:bottom w:val="single" w:color="0F4C81" w:sz="4" w:space="2"/>
        </w:pBdr>
        <w:spacing w:before="280" w:after="120"/>
      </w:pPr>
      <w:r>
        <w:rPr>
          <w:rFonts w:hint="eastAsia" w:ascii="微软雅黑" w:hAnsi="微软雅黑" w:eastAsia="微软雅黑"/>
          <w:b/>
          <w:color w:val="0F4C81"/>
          <w:sz w:val="28"/>
        </w:rPr>
        <w:t>一、总体反馈：方向认同，但当前只适合进入联合经营实验</w:t>
      </w:r>
    </w:p>
    <w:p w14:paraId="58ECC3CA">
      <w:pPr>
        <w:spacing w:after="120" w:line="312" w:lineRule="auto"/>
      </w:pPr>
      <w:r>
        <w:rPr>
          <w:rFonts w:hint="eastAsia" w:ascii="微软雅黑" w:hAnsi="微软雅黑" w:eastAsia="微软雅黑"/>
          <w:b w:val="0"/>
          <w:color w:val="1F2329"/>
          <w:sz w:val="21"/>
          <w:lang w:eastAsia="zh-CN"/>
        </w:rPr>
        <w:t>你</w:t>
      </w:r>
      <w:r>
        <w:rPr>
          <w:rFonts w:hint="eastAsia" w:ascii="微软雅黑" w:hAnsi="微软雅黑" w:eastAsia="微软雅黑"/>
          <w:b w:val="0"/>
          <w:color w:val="1F2329"/>
          <w:sz w:val="21"/>
        </w:rPr>
        <w:t>的文档提出的“订阅制 × Center × AI”第二曲线方向，我在逻辑上认同：预收模式转向订阅是行业趋势，集中交付节点对质量管控有真实价值，AI 降低运营成本的方向不可逆。</w:t>
      </w:r>
    </w:p>
    <w:p w14:paraId="69BA6C44">
      <w:pPr>
        <w:spacing w:after="80" w:line="312" w:lineRule="auto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但当前证据链把规模承接、交付稳定、教学体验和单位经济连成了既定结论，建议先补齐验证再规模化：</w:t>
      </w:r>
    </w:p>
    <w:p w14:paraId="2EE269F8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Cebu CBT 的规模承接能力成立，但不能称为“稳定交付”：EOM 7 月 TAR 为 2.14%（由 3.10% 改善），仍偏高，且尚未显示相对 TBT/HBT 的明确优势。</w:t>
      </w:r>
    </w:p>
    <w:p w14:paraId="2F3D6FF9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体验课转化下降不能先排除教师因素：结构、流量、销售、定价、师生匹配与教师质量可能共同作用，需拆出教师贡献。</w:t>
      </w:r>
    </w:p>
    <w:p w14:paraId="5D8E4743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海外 OVS 同窗口显示 TBT 的交付纪律信号更好：Slide 2 TAR 1.56% vs HBT 3.14%、教师留存 98.44% vs 95.76%；按 8/1-8/15 Booked 分母复核，TAR 为 1.85% vs 3.69%，No NOTI 为 0.24% vs 0.92%。这提高 TBT 作为交付稳定性优先候选供给层的先验，但仍不能替代客户体验验证。</w:t>
      </w:r>
    </w:p>
    <w:p w14:paraId="32854FE8">
      <w:pPr>
        <w:spacing w:after="160" w:line="312" w:lineRule="auto"/>
      </w:pPr>
      <w:r>
        <w:rPr>
          <w:rFonts w:hint="eastAsia" w:ascii="微软雅黑" w:hAnsi="微软雅黑" w:eastAsia="微软雅黑"/>
          <w:b/>
          <w:color w:val="1F2329"/>
          <w:sz w:val="21"/>
        </w:rPr>
        <w:t>• 单个自建 Center 成立，不等于加盟网络和整体单位经济可以复制——当前 TPCAP 119 个中心 fill rate 从 25% 到 240% 极端分化，加盟基础设施（标准、权益、IT、培训认证）尚未建立。</w:t>
      </w:r>
    </w:p>
    <w:p w14:paraId="28C5D8BD">
      <w:pPr>
        <w:pBdr>
          <w:bottom w:val="single" w:color="0F4C81" w:sz="4" w:space="2"/>
        </w:pBdr>
        <w:spacing w:before="280" w:after="120"/>
      </w:pPr>
      <w:r>
        <w:rPr>
          <w:rFonts w:hint="eastAsia" w:ascii="微软雅黑" w:hAnsi="微软雅黑" w:eastAsia="微软雅黑"/>
          <w:b/>
          <w:color w:val="0F4C81"/>
          <w:sz w:val="28"/>
        </w:rPr>
        <w:t>因此建议：保留主方向，把文档从“第二曲线已经找到”改写为“联合经营实验方案”，设 6-9 个月验证期；在客户价值（含教学体验）、交付稳定、单位经济和可复制性四道门槛同时达标前，不预设 CBT 或 TBT 为供给主轴。</w:t>
      </w:r>
    </w:p>
    <w:p w14:paraId="538BDD4A">
      <w:pPr>
        <w:pStyle w:val="3"/>
        <w:keepNext/>
        <w:spacing w:after="80" w:line="312" w:lineRule="auto"/>
      </w:pPr>
      <w:r>
        <w:rPr>
          <w:rFonts w:hint="eastAsia" w:ascii="微软雅黑" w:hAnsi="微软雅黑" w:eastAsia="微软雅黑"/>
          <w:b/>
          <w:color w:val="B91C1C"/>
          <w:sz w:val="22"/>
        </w:rPr>
        <w:t>二、五个关键数据事实</w:t>
      </w:r>
    </w:p>
    <w:p w14:paraId="3986E336">
      <w:pPr>
        <w:pStyle w:val="4"/>
        <w:keepNext/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事实1：Cebu CBT 规模承接能力成立，但交付稳定性优势尚未成立</w:t>
      </w:r>
    </w:p>
    <w:p w14:paraId="3FF0B2CC">
      <w:pPr>
        <w:spacing w:after="80" w:line="312" w:lineRule="auto"/>
        <w:ind w:left="227"/>
      </w:pPr>
      <w:r>
        <w:rPr>
          <w:rFonts w:ascii="微软雅黑" w:hAnsi="微软雅黑" w:eastAsia="微软雅黑"/>
          <w:b w:val="0"/>
          <w:color w:val="6B7280"/>
          <w:sz w:val="21"/>
        </w:rPr>
        <w:t>• 1-7 月在册老师 41→165（4 倍）、完课 5,282→23,628；7 月扩量 12% 的同时利用率为 77.6%、TAR 降至 2.14%、Missed 0.35%、SSAT 98.05%——这说明现场具备规模承接和治理能力，但不能单凭月度快照认定交付质量已达标。</w:t>
      </w:r>
    </w:p>
    <w:p w14:paraId="01D19728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先区分范围：Cebu EOM 为物理 Center 的全量运营数据（在册 165、Active HC 155）；OVS Table 1 的 CBT 仅为海外付费课子集（Onlist HC 62，具体分组字段见口径桥），两者不能直接拼成同一分母。</w:t>
      </w:r>
    </w:p>
    <w:p w14:paraId="634216A3">
      <w:pPr>
        <w:spacing w:after="80" w:line="312" w:lineRule="auto"/>
      </w:pPr>
      <w:r>
        <w:rPr>
          <w:rFonts w:hint="eastAsia" w:ascii="微软雅黑" w:hAnsi="微软雅黑" w:eastAsia="微软雅黑"/>
          <w:b/>
          <w:color w:val="B91C1C"/>
          <w:sz w:val="22"/>
        </w:rPr>
        <w:t>• 结构性预警：7 月海外高峰利用率已达 100-105%（容量紧张），国内高峰仅 66-70%（闲置）——问题不是总容量，而是市场×时段错配。“订阅为 Center 提供稳定负载”的假设，必须细化到市场和时段层面验证，月度总利用率会掩盖这个问题。</w:t>
      </w:r>
    </w:p>
    <w:p w14:paraId="509714E5">
      <w:pPr>
        <w:pStyle w:val="4"/>
        <w:keepNext/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事实2：体验课转化下滑与教师质量可能共同相关，当前不能单因归因</w:t>
      </w:r>
    </w:p>
    <w:p w14:paraId="615A630A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CBT 口径 6 月 17.71% → 7 月 13.28%。拆解后：FTEX 自身下降 1.1pp（18.86%→17.78%），FTE 反而改善（9.50%→10.71%）；7 月 FTE 完课量从 221 暴涨至 3,540（16 倍），结构变化解释了整体下滑的一部分，但不能解释全部。</w:t>
      </w:r>
    </w:p>
    <w:p w14:paraId="09D7F844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8 月海外全量（截至 18 日）：订单节奏 59.7% vs 完课节奏 78.5%（基准 58.1%），8 个市场中 6 个订单落后于完课；实际订单转化 12.1%，低于月目标隐含的 16.0%。</w:t>
      </w:r>
    </w:p>
    <w:p w14:paraId="35D21762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关键对照：台湾出席率 72.6% 全场最高（超目标 +2.6pp），订单节奏却只有 59.4%——说明转化链路存在流量、销售或定价瓶颈；但这不能据此排除教师教学体验、课堂互动和师生匹配的影响。</w:t>
      </w:r>
    </w:p>
    <w:p w14:paraId="7DEAF803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结论：转化下滑是系统因素与教师因素并存的经营问题。教师质量至少是待验证的相关因素，应按同市场、同课程、同资历和相近流量做教师-学生匹配或固定效应分析，再决定 Center 能解决多少问题。</w:t>
      </w:r>
    </w:p>
    <w:p w14:paraId="20662E89">
      <w:pPr>
        <w:spacing w:after="80" w:line="312" w:lineRule="auto"/>
      </w:pPr>
      <w:r>
        <w:rPr>
          <w:rFonts w:hint="eastAsia" w:ascii="微软雅黑" w:hAnsi="微软雅黑" w:eastAsia="微软雅黑"/>
          <w:b/>
          <w:color w:val="B91C1C"/>
          <w:sz w:val="22"/>
        </w:rPr>
        <w:t>• 口径提示：CBT 数据为境内外混合口径，海外周报为海外全量口径，两者不能直接相减；后续归因需分市场、课程和教师资历拆解。</w:t>
      </w:r>
    </w:p>
    <w:p w14:paraId="102FED84">
      <w:pPr>
        <w:pStyle w:val="4"/>
        <w:keepNext/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事实3：TBT 规模已成，海外 OVS 显示交付纪律优势，但教学体验仍未证实，加盟体系还在早期</w:t>
      </w:r>
    </w:p>
    <w:p w14:paraId="220FA3C9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现状：119 个中心、4,105 HC、HC 占比约 19%、Shouldering Rate 38.76%；fill rate 25%~240% 极端分化——下沉市场中心产能严重闲置，城市中心供不应求。海外 OVS 快照中 TBT overall utilization 70.50%、peak 79.55%、POP 84.23%，均高于 HBT 的 60.86%、65.86%、69.47%；这支持供给效率方向，但也可能混入市场、资历和需求结构差异。</w:t>
      </w:r>
    </w:p>
    <w:p w14:paraId="40C3DE43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加盟现实：10 个 CO 至今未签协议；资料中的“70% PHBEE owners”不能直接改写为“70% 自营”，需先确认 owner、合同和自营定义。标准、权益、IT、培训认证等加盟基础设施仍未闭环。与此同时，TBT/HBT Complaint% 均为 0.03%，PPT 未提供 SSAT、Favor、Rebook、体验课转化或付费留存，因此出勤优势不能替代教学体验验证。</w:t>
      </w:r>
    </w:p>
    <w:p w14:paraId="7A18DF40">
      <w:pPr>
        <w:spacing w:after="80" w:line="312" w:lineRule="auto"/>
      </w:pPr>
      <w:r>
        <w:rPr>
          <w:rFonts w:hint="eastAsia" w:ascii="微软雅黑" w:hAnsi="微软雅黑" w:eastAsia="微软雅黑"/>
          <w:b/>
          <w:color w:val="B91C1C"/>
          <w:sz w:val="22"/>
        </w:rPr>
        <w:t>• 19% 是 HC/供给占比，40% 是课量目标，分母和产能粒度不同，不能直接推出“新增 100+ 个中心”。扩张应先按中心级 fill rate、需求时段和单位经济重分配，不能把课量目标当成铺点数量。</w:t>
      </w:r>
    </w:p>
    <w:p w14:paraId="09B96B23">
      <w:pPr>
        <w:pStyle w:val="4"/>
        <w:keepNext/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事实4：两个需要先澄清的数据基础</w:t>
      </w:r>
    </w:p>
    <w:p w14:paraId="1EAC4065">
      <w:pPr>
        <w:spacing w:after="80" w:line="312" w:lineRule="auto"/>
        <w:ind w:left="227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• 土耳其续约数据（90-95%）迁移到 PH 的适用性：两个市场、两种获客和定价模式，不能直接类比。且 8 月土耳其订阅试点自身数据为占课 4,566、预约 2,513、完课 1,397，预约完课率为 55.6%（1,397/2,513），与“高粘性订阅”的叙事存在距离，建议先澄清口径再作为论据。</w:t>
      </w:r>
    </w:p>
    <w:p w14:paraId="4938559F">
      <w:pPr>
        <w:spacing w:before="160" w:after="0"/>
      </w:pPr>
      <w:r>
        <w:rPr>
          <w:rFonts w:hint="eastAsia" w:ascii="微软雅黑" w:hAnsi="微软雅黑" w:eastAsia="微软雅黑"/>
          <w:b/>
          <w:sz w:val="21"/>
        </w:rPr>
        <w:t>• 旧 CBT 的历史教训：2019-21 旧 CBT 因 TAR 4-29%（四种模式中最差）、高不活跃被关闭。新 Cebu Center 的定位已从招募培训中心转为体验课/交付中心，这是实质性差异——但方案需要明确写出“这次为何不同”，并用同口径数据验证，而不是预设重资产风险已消失。</w:t>
      </w: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本次为何不同：旧 CBT 关闭的根因是「缺乏同口径质量监控与达标退出机制」，而非 Center 形态本身。新方案以「月度同口径看板 + 整改期达标退出 + 100 HC 试点上限」三个机制兜底，把重资产押注转为可撤回的验证；但需在验证期首月即锁定 TAR/留存阈值，触线即触发退出，避免重蹈覆辙。</w:t>
      </w:r>
    </w:p>
    <w:p w14:paraId="7135431A">
      <w:pPr>
        <w:pStyle w:val="4"/>
        <w:keepNext/>
      </w:pPr>
      <w:r>
        <w:rPr>
          <w:rFonts w:ascii="等线" w:hAnsi="等线" w:eastAsia="等线"/>
          <w:sz w:val="21"/>
        </w:rPr>
        <w:t>事实5：Center 目前是“集中管理节点”，尚未证明是“供应链可靠性节点”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 w14:paraId="7E6D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8" w:type="dxa"/>
          </w:tcPr>
          <w:p w14:paraId="6008F2F3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模式/分组*</w:t>
            </w:r>
          </w:p>
        </w:tc>
        <w:tc>
          <w:tcPr>
            <w:tcW w:w="1058" w:type="dxa"/>
          </w:tcPr>
          <w:p w14:paraId="422CAEA8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Onlist HC</w:t>
            </w:r>
          </w:p>
        </w:tc>
        <w:tc>
          <w:tcPr>
            <w:tcW w:w="1058" w:type="dxa"/>
          </w:tcPr>
          <w:p w14:paraId="6A116861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整体利用率</w:t>
            </w:r>
          </w:p>
        </w:tc>
        <w:tc>
          <w:tcPr>
            <w:tcW w:w="1058" w:type="dxa"/>
          </w:tcPr>
          <w:p w14:paraId="54AC7CC2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峰值利用率</w:t>
            </w:r>
          </w:p>
        </w:tc>
        <w:tc>
          <w:tcPr>
            <w:tcW w:w="1058" w:type="dxa"/>
          </w:tcPr>
          <w:p w14:paraId="53157DA7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TAR</w:t>
            </w:r>
          </w:p>
        </w:tc>
        <w:tc>
          <w:tcPr>
            <w:tcW w:w="1058" w:type="dxa"/>
          </w:tcPr>
          <w:p w14:paraId="70A74666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ML</w:t>
            </w:r>
          </w:p>
        </w:tc>
        <w:tc>
          <w:tcPr>
            <w:tcW w:w="1058" w:type="dxa"/>
          </w:tcPr>
          <w:p w14:paraId="481C449E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Late</w:t>
            </w:r>
          </w:p>
        </w:tc>
        <w:tc>
          <w:tcPr>
            <w:tcW w:w="1058" w:type="dxa"/>
          </w:tcPr>
          <w:p w14:paraId="689DB2F4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留存</w:t>
            </w:r>
          </w:p>
        </w:tc>
        <w:tc>
          <w:tcPr>
            <w:tcW w:w="1058" w:type="dxa"/>
          </w:tcPr>
          <w:p w14:paraId="6B8FD2FC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流失占比</w:t>
            </w:r>
          </w:p>
        </w:tc>
      </w:tr>
      <w:tr w14:paraId="5FA6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dxa"/>
          </w:tcPr>
          <w:p w14:paraId="5620B38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CBT*</w:t>
            </w:r>
          </w:p>
        </w:tc>
        <w:tc>
          <w:tcPr>
            <w:tcW w:w="1058" w:type="dxa"/>
          </w:tcPr>
          <w:p w14:paraId="763EFC2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62</w:t>
            </w:r>
          </w:p>
        </w:tc>
        <w:tc>
          <w:tcPr>
            <w:tcW w:w="1058" w:type="dxa"/>
          </w:tcPr>
          <w:p w14:paraId="56B47BC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69.37%</w:t>
            </w:r>
          </w:p>
        </w:tc>
        <w:tc>
          <w:tcPr>
            <w:tcW w:w="1058" w:type="dxa"/>
          </w:tcPr>
          <w:p w14:paraId="071856F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84.28%</w:t>
            </w:r>
          </w:p>
        </w:tc>
        <w:tc>
          <w:tcPr>
            <w:tcW w:w="1058" w:type="dxa"/>
          </w:tcPr>
          <w:p w14:paraId="1540E679"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991B1B"/>
                <w:sz w:val="18"/>
              </w:rPr>
              <w:t>3.44%（当前最高）</w:t>
            </w:r>
          </w:p>
        </w:tc>
        <w:tc>
          <w:tcPr>
            <w:tcW w:w="1058" w:type="dxa"/>
          </w:tcPr>
          <w:p w14:paraId="5D37D0D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0.26%</w:t>
            </w:r>
          </w:p>
        </w:tc>
        <w:tc>
          <w:tcPr>
            <w:tcW w:w="1058" w:type="dxa"/>
          </w:tcPr>
          <w:p w14:paraId="1D50D0D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0.32%</w:t>
            </w:r>
          </w:p>
        </w:tc>
        <w:tc>
          <w:tcPr>
            <w:tcW w:w="1058" w:type="dxa"/>
          </w:tcPr>
          <w:p w14:paraId="4CB01A78"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991B1B"/>
                <w:sz w:val="18"/>
              </w:rPr>
              <w:t>91.94%（当前最低）</w:t>
            </w:r>
          </w:p>
        </w:tc>
        <w:tc>
          <w:tcPr>
            <w:tcW w:w="1058" w:type="dxa"/>
          </w:tcPr>
          <w:p w14:paraId="45064589"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991B1B"/>
                <w:sz w:val="18"/>
              </w:rPr>
              <w:t>8.06%（当前最高）</w:t>
            </w:r>
          </w:p>
        </w:tc>
      </w:tr>
      <w:tr w14:paraId="3713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dxa"/>
          </w:tcPr>
          <w:p w14:paraId="677633B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TBT*</w:t>
            </w:r>
          </w:p>
        </w:tc>
        <w:tc>
          <w:tcPr>
            <w:tcW w:w="1058" w:type="dxa"/>
          </w:tcPr>
          <w:p w14:paraId="4033B69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2631</w:t>
            </w:r>
          </w:p>
        </w:tc>
        <w:tc>
          <w:tcPr>
            <w:tcW w:w="1058" w:type="dxa"/>
          </w:tcPr>
          <w:p w14:paraId="2211D7A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70.50%</w:t>
            </w:r>
          </w:p>
        </w:tc>
        <w:tc>
          <w:tcPr>
            <w:tcW w:w="1058" w:type="dxa"/>
          </w:tcPr>
          <w:p w14:paraId="262D2EA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79.55%</w:t>
            </w:r>
          </w:p>
        </w:tc>
        <w:tc>
          <w:tcPr>
            <w:tcW w:w="1058" w:type="dxa"/>
          </w:tcPr>
          <w:p w14:paraId="765B83BF"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65F46"/>
                <w:sz w:val="18"/>
              </w:rPr>
              <w:t>1.56%（当前最低）</w:t>
            </w:r>
          </w:p>
        </w:tc>
        <w:tc>
          <w:tcPr>
            <w:tcW w:w="1058" w:type="dxa"/>
          </w:tcPr>
          <w:p w14:paraId="6747630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0.13%</w:t>
            </w:r>
          </w:p>
        </w:tc>
        <w:tc>
          <w:tcPr>
            <w:tcW w:w="1058" w:type="dxa"/>
          </w:tcPr>
          <w:p w14:paraId="0A357C2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0.15%</w:t>
            </w:r>
          </w:p>
        </w:tc>
        <w:tc>
          <w:tcPr>
            <w:tcW w:w="1058" w:type="dxa"/>
          </w:tcPr>
          <w:p w14:paraId="12E829C9"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65F46"/>
                <w:sz w:val="18"/>
              </w:rPr>
              <w:t>98.44%（当前最高）</w:t>
            </w:r>
          </w:p>
        </w:tc>
        <w:tc>
          <w:tcPr>
            <w:tcW w:w="1058" w:type="dxa"/>
          </w:tcPr>
          <w:p w14:paraId="6C5D1971"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65F46"/>
                <w:sz w:val="18"/>
              </w:rPr>
              <w:t>1.56%（当前最低）</w:t>
            </w:r>
          </w:p>
        </w:tc>
      </w:tr>
      <w:tr w14:paraId="2404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dxa"/>
          </w:tcPr>
          <w:p w14:paraId="1C1FEA5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HBT*</w:t>
            </w:r>
          </w:p>
        </w:tc>
        <w:tc>
          <w:tcPr>
            <w:tcW w:w="1058" w:type="dxa"/>
          </w:tcPr>
          <w:p w14:paraId="32605C6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8859</w:t>
            </w:r>
          </w:p>
        </w:tc>
        <w:tc>
          <w:tcPr>
            <w:tcW w:w="1058" w:type="dxa"/>
          </w:tcPr>
          <w:p w14:paraId="07DE3DA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60.86%</w:t>
            </w:r>
          </w:p>
        </w:tc>
        <w:tc>
          <w:tcPr>
            <w:tcW w:w="1058" w:type="dxa"/>
          </w:tcPr>
          <w:p w14:paraId="4A70611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65.86%</w:t>
            </w:r>
          </w:p>
        </w:tc>
        <w:tc>
          <w:tcPr>
            <w:tcW w:w="1058" w:type="dxa"/>
          </w:tcPr>
          <w:p w14:paraId="7DEB896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3.14%</w:t>
            </w:r>
          </w:p>
        </w:tc>
        <w:tc>
          <w:tcPr>
            <w:tcW w:w="1058" w:type="dxa"/>
          </w:tcPr>
          <w:p w14:paraId="5B58590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0.31%</w:t>
            </w:r>
          </w:p>
        </w:tc>
        <w:tc>
          <w:tcPr>
            <w:tcW w:w="1058" w:type="dxa"/>
          </w:tcPr>
          <w:p w14:paraId="5E0B96C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0.28%</w:t>
            </w:r>
          </w:p>
        </w:tc>
        <w:tc>
          <w:tcPr>
            <w:tcW w:w="1058" w:type="dxa"/>
          </w:tcPr>
          <w:p w14:paraId="7F6EE74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95.76%</w:t>
            </w:r>
          </w:p>
        </w:tc>
        <w:tc>
          <w:tcPr>
            <w:tcW w:w="1058" w:type="dxa"/>
          </w:tcPr>
          <w:p w14:paraId="5DD5179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4.24%</w:t>
            </w:r>
          </w:p>
        </w:tc>
      </w:tr>
      <w:tr w14:paraId="6C73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22" w:type="dxa"/>
            <w:gridSpan w:val="9"/>
          </w:tcPr>
          <w:p w14:paraId="12034E38">
            <w:pPr>
              <w:spacing w:after="0" w:line="240" w:lineRule="auto"/>
            </w:pPr>
            <w:r>
              <w:rPr>
                <w:rFonts w:ascii="等线" w:hAnsi="等线" w:eastAsia="等线"/>
                <w:i/>
                <w:sz w:val="18"/>
              </w:rPr>
              <w:t>数据源：OVS Teacher Performance，截至 2026-08-15；补充 OVS HBT vs TBT Comparison（2026 年 8 月）。*当前表为海外付费课的派生分组快照，不是物理 Center 的因果实验；需分别保留 center_type_desc/physical_center 与 desc_type/contract_type。Cebu 物理 Center 记录可能同时呈现 HBT 合同类型，OVS CBT 62 HC 与 Cebu EOM 在册 165、Active 155 不是同一分母。CBT/TBT/HBT 还混入市场、地区、NT/TT、TTP/teacher-level 和样本量差异，分层/匹配前仅作描述性信号。Attrition 绝对值：CBT 5 / TBT 41 / HBT 376，需复核原始分母。补充 PPT 的 Slide 2 与 Slide 3 TAR 数值分别为 TBT/HBT 1.56%/3.14% 与 1.85%/3.69%，不得混用，需补分子、分母和窗口定义。</w:t>
            </w:r>
          </w:p>
        </w:tc>
      </w:tr>
    </w:tbl>
    <w:p w14:paraId="595AFE68">
      <w:r>
        <w:rPr>
          <w:rFonts w:ascii="等线" w:hAnsi="等线" w:eastAsia="等线"/>
          <w:b/>
          <w:sz w:val="21"/>
        </w:rPr>
        <w:t xml:space="preserve">• </w:t>
      </w:r>
      <w:r>
        <w:rPr>
          <w:rFonts w:hint="eastAsia" w:ascii="等线" w:hAnsi="等线" w:eastAsia="等线"/>
          <w:b/>
          <w:sz w:val="21"/>
          <w:lang w:eastAsia="zh-CN"/>
        </w:rPr>
        <w:t>你</w:t>
      </w:r>
      <w:r>
        <w:rPr>
          <w:rFonts w:ascii="等线" w:hAnsi="等线" w:eastAsia="等线"/>
          <w:b/>
          <w:sz w:val="21"/>
        </w:rPr>
        <w:t>文档对 Center 的定义——“不是办公场所，而是供应链可靠性节点”——需要先过口径桥，再逐项检验。OVS 快照可以提示风险，但不是物理 Center 的因果实验。</w:t>
      </w:r>
    </w:p>
    <w:p w14:paraId="67CD6814">
      <w:r>
        <w:rPr>
          <w:rFonts w:ascii="等线" w:hAnsi="等线" w:eastAsia="等线"/>
          <w:sz w:val="21"/>
        </w:rPr>
        <w:t>• 当前派生分组的观察结论（描述性信号，不是因果结论）：</w:t>
      </w:r>
    </w:p>
    <w:p w14:paraId="0916D1AA">
      <w:r>
        <w:rPr>
          <w:rFonts w:ascii="等线" w:hAnsi="等线" w:eastAsia="等线"/>
          <w:sz w:val="21"/>
        </w:rPr>
        <w:t xml:space="preserve">   – TAR 缺勤率：CBT 3.44% &gt; HBT 3.14% &gt; TBT 1.56%——当前快照未显示 CBT 相对优势。</w:t>
      </w:r>
    </w:p>
    <w:p w14:paraId="2F226851">
      <w:r>
        <w:rPr>
          <w:rFonts w:ascii="等线" w:hAnsi="等线" w:eastAsia="等线"/>
          <w:sz w:val="21"/>
        </w:rPr>
        <w:t xml:space="preserve">   – 留存率：CBT 91.94% &lt; HBT 95.76% &lt; TBT 98.44%——CBT 子集观察留存最低，但需结合资历、区域和教师类型校正。</w:t>
      </w:r>
    </w:p>
    <w:p w14:paraId="21A172C8">
      <w:r>
        <w:rPr>
          <w:rFonts w:ascii="等线" w:hAnsi="等线" w:eastAsia="等线"/>
          <w:b/>
          <w:sz w:val="21"/>
        </w:rPr>
        <w:t xml:space="preserve">   – 流失占比：CBT 8.06% &gt; HBT 4.24% &gt; TBT 1.56%——样本量和分母仍需复核，不能直接外推到全部 Cebu。</w:t>
      </w:r>
    </w:p>
    <w:p w14:paraId="45751925">
      <w:r>
        <w:rPr>
          <w:rFonts w:ascii="等线" w:hAnsi="等线" w:eastAsia="等线"/>
          <w:sz w:val="21"/>
        </w:rPr>
        <w:t>• 重新评估“四项节点检验”——当前窗口应写为“未通过/待验证”，不能写成“已证伪”：</w:t>
      </w:r>
    </w:p>
    <w:p w14:paraId="15497C68">
      <w:r>
        <w:rPr>
          <w:rFonts w:ascii="等线" w:hAnsi="等线" w:eastAsia="等线"/>
          <w:sz w:val="21"/>
        </w:rPr>
        <w:t xml:space="preserve">   – 时段负载稳定性 ✗：月度波动大（3 月 58.8% → 7 月 77.6% → 8 月 69.4%），Center 尚未显示平滑负载。</w:t>
      </w:r>
    </w:p>
    <w:p w14:paraId="1055BA53">
      <w:r>
        <w:rPr>
          <w:rFonts w:ascii="等线" w:hAnsi="等线" w:eastAsia="等线"/>
          <w:sz w:val="21"/>
        </w:rPr>
        <w:t xml:space="preserve">   – 跨市场路由 ✗：国内高峰 66-70% 闲置 vs 海外高峰 100-105% 过载并存，供给仍锁在特定市场/时区。</w:t>
      </w:r>
    </w:p>
    <w:p w14:paraId="6B458C25">
      <w:r>
        <w:rPr>
          <w:rFonts w:ascii="等线" w:hAnsi="等线" w:eastAsia="等线"/>
          <w:sz w:val="21"/>
        </w:rPr>
        <w:t xml:space="preserve">   – 老师稳定性 ✗/待校正：CBT 子集留存 91.94% 较低、流失 8.06% 较高；但 CBT/TBT/HBT 同时混入资历、地域、TTP/teacher-level 和样本量差异，必须分层或匹配后再判断模式效应。</w:t>
      </w:r>
    </w:p>
    <w:p w14:paraId="0BB2BA70">
      <w:r>
        <w:rPr>
          <w:rFonts w:ascii="等线" w:hAnsi="等线" w:eastAsia="等线"/>
          <w:b/>
          <w:color w:val="991B1B"/>
          <w:sz w:val="21"/>
        </w:rPr>
        <w:t xml:space="preserve">   – 交付稳定性：TBT 相对 HBT 有方向性优势（低缺勤、低未通知、较高教师留存），但 PPT 内部 TAR 口径不一致，且该证据不等于教学体验、转化或付费长期价值优势；CBT 仍未显示相对优势。</w:t>
      </w:r>
    </w:p>
    <w:p w14:paraId="1825EFAE">
      <w:r>
        <w:rPr>
          <w:rFonts w:ascii="等线" w:hAnsi="等线" w:eastAsia="等线"/>
          <w:i/>
          <w:sz w:val="21"/>
        </w:rPr>
        <w:t>• 综合结论：当前窗口不支持把 Center 定义为已验证的供应链可靠性节点，也不支持把 TBT 直接升级为供给主轴；但 TBT 可从一般候选升级为“交付稳定性优先候选实验层”。CBT 可证明的是集中管理、培训和环境标准化能力；两类供给的客户价值和可复制性仍需实验验证。</w:t>
      </w:r>
    </w:p>
    <w:p w14:paraId="1C70D813">
      <w:r>
        <w:rPr>
          <w:rFonts w:ascii="等线" w:hAnsi="等线" w:eastAsia="等线"/>
          <w:b/>
          <w:color w:val="991B1B"/>
          <w:sz w:val="21"/>
        </w:rPr>
        <w:t>• 口径桥：PH CBT EOM 20260731 按物理地点汇总 Cebu 全量；OVS Teacher Performance（截至 2026-08-15）是海外付费课教师表现子集。OVS 原始表同时存在 center_type_desc/physical_center 与 desc_type/contract_type 两类维度，Cebu 记录可能表现为物理 CBT、合同 HBT。补充 PPT 的 Slide 2 TAR 为 TBT 1.56%/HBT 3.14%，Slide 3 按 8/1-8/15 Booked 分母为 1.85%/3.69%，Slide 4 趋势页未标清群组和分母；需先锁定 TAR 分子、分母、窗口和教师集合。海外 OVS 结果不能直接外推到 PH TBT/Cebu CBT。</w:t>
      </w:r>
    </w:p>
    <w:p w14:paraId="58B6367B">
      <w:pPr>
        <w:pStyle w:val="3"/>
        <w:keepNext/>
        <w:pageBreakBefore/>
        <w:pBdr>
          <w:bottom w:val="single" w:color="0F4C81" w:sz="4" w:space="2"/>
        </w:pBdr>
        <w:spacing w:before="280" w:after="120"/>
      </w:pPr>
      <w:r>
        <w:rPr>
          <w:rFonts w:hint="eastAsia" w:ascii="微软雅黑" w:hAnsi="微软雅黑" w:eastAsia="微软雅黑"/>
          <w:b/>
          <w:color w:val="0F4C81"/>
          <w:sz w:val="28"/>
        </w:rPr>
        <w:t>三、我的规划</w:t>
      </w:r>
      <w:r>
        <w:rPr>
          <w:rFonts w:hint="eastAsia" w:ascii="微软雅黑" w:hAnsi="微软雅黑" w:eastAsia="微软雅黑"/>
          <w:b/>
          <w:color w:val="0F4C81"/>
          <w:sz w:val="28"/>
          <w:lang w:val="en-US" w:eastAsia="zh-CN"/>
        </w:rPr>
        <w:t>建议</w:t>
      </w:r>
      <w:r>
        <w:rPr>
          <w:rFonts w:hint="eastAsia" w:ascii="微软雅黑" w:hAnsi="微软雅黑" w:eastAsia="微软雅黑"/>
          <w:b/>
          <w:color w:val="0F4C81"/>
          <w:sz w:val="28"/>
        </w:rPr>
        <w:t>：CBT/TBT/HBT 联合实验 + 系统化管理（Hub-and-Spoke）</w:t>
      </w:r>
    </w:p>
    <w:p w14:paraId="696C2AFB">
      <w:r>
        <w:rPr>
          <w:rFonts w:ascii="等线" w:hAnsi="等线" w:eastAsia="等线"/>
          <w:sz w:val="21"/>
        </w:rPr>
        <w:t>基于当前 OVS 派生快照，TBT 可列为交付稳定性优先候选，但不能把任何一种物理形态或合同类型直接写成质量最优。建议把供给结构改写为“候选层 + 对照层 + 弹性层”，用客户结果和单位经济决定最终角色：</w:t>
      </w:r>
    </w:p>
    <w:p w14:paraId="71A99BE1">
      <w:r>
        <w:rPr>
          <w:rFonts w:ascii="等线" w:hAnsi="等线" w:eastAsia="等线"/>
          <w:sz w:val="21"/>
        </w:rPr>
        <w:t>• 优先候选供给层 = TBT（交付稳定性优先候选，待验证）：海外 OVS 在缺勤、未通知缺勤、部分利用率和教师留存上呈现方向性优势；但必须与 HBT 做同市场、同课程、同资历的客户体验对照，并先解决 Slide 2/3 TAR 口径差异，不能仅凭出勤指标扩大。</w:t>
      </w:r>
    </w:p>
    <w:p w14:paraId="4AA59368">
      <w:r>
        <w:rPr>
          <w:rFonts w:ascii="等线" w:hAnsi="等线" w:eastAsia="等线"/>
          <w:sz w:val="21"/>
        </w:rPr>
        <w:t>• 培训/认证中枢 = Cebu CBT（待验证）：可先承担体验课标杆、新师培训与认证、教学质量研发、IT/设备标准输出；这些是集中管理能力，不能自动推导供给质量优势。</w:t>
      </w:r>
    </w:p>
    <w:p w14:paraId="216733CE">
      <w:r>
        <w:rPr>
          <w:rFonts w:ascii="等线" w:hAnsi="等线" w:eastAsia="等线"/>
          <w:color w:val="991B1B"/>
          <w:sz w:val="21"/>
        </w:rPr>
        <w:t>• Cebu CBT 供给侧角色 = 受控小规模实验：建议先设不超过 100 HC 的试点上限（阈值待 P&amp;L、容量和客户价值确认），用于订阅制与体验/付费课的分层对照，不作为主供给，也不据此新增场地。</w:t>
      </w:r>
    </w:p>
    <w:p w14:paraId="1D74B24A">
      <w:r>
        <w:rPr>
          <w:rFonts w:ascii="等线" w:hAnsi="等线" w:eastAsia="等线"/>
          <w:sz w:val="21"/>
        </w:rPr>
        <w:t>• 下沉 TBT 结构调整：fill rate 25-60% 的低效中心先进入整改期；在确认需求、合同和迁移成本后，按连续指标未达门槛再退出/迁移，课量优先转向高需求时段和可验证的高效中心，避免把“关停”写成自动动作。</w:t>
      </w:r>
    </w:p>
    <w:p w14:paraId="7D8A747A">
      <w:r>
        <w:rPr>
          <w:rFonts w:ascii="等线" w:hAnsi="等线" w:eastAsia="等线"/>
          <w:sz w:val="21"/>
        </w:rPr>
        <w:t>• HBT = 弹性对照/补峰供给层：承接峰值与长尾需求，扩张跟随订阅负载、客户体验和单位贡献信号。</w:t>
      </w:r>
    </w:p>
    <w:p w14:paraId="52BB55CE">
      <w:r>
        <w:rPr>
          <w:rFonts w:ascii="等线" w:hAnsi="等线" w:eastAsia="等线"/>
          <w:b/>
          <w:sz w:val="21"/>
        </w:rPr>
        <w:t>Hub-and-Spoke 重写结论：</w:t>
      </w:r>
    </w:p>
    <w:p w14:paraId="6EC54D27">
      <w:r>
        <w:rPr>
          <w:rFonts w:ascii="等线" w:hAnsi="等线" w:eastAsia="等线"/>
          <w:sz w:val="21"/>
        </w:rPr>
        <w:t xml:space="preserve">   Hub 的培训/认证/标杆功能可由 Cebu CBT 承担；供给主轴不预设切换到 TBT，而是在 TBT 与 HBT 中按同口径客户结果筛选。把“加盟复制”从资本扩张改为能力扩张，把供给质量绑定到可验证的教师和中心指标上。</w:t>
      </w:r>
    </w:p>
    <w:p w14:paraId="2B37B54B">
      <w:r>
        <w:rPr>
          <w:rFonts w:ascii="等线" w:hAnsi="等线" w:eastAsia="等线"/>
          <w:sz w:val="21"/>
        </w:rPr>
        <w:t>验证机制：建立 CBT/TBT/HBT 同口径月度看板，并每周固定时间出早期信号；除 TAR、ML、Late、留存、流失、SSAT、Favor/Rebook、投诉/拉黑、固定老师率、体验课转化、付费课留存和单位贡献外，必须同时记录 Booked/teacher-day 等分母与数据窗口。验证的不是“哪种物理形态天然更好”，而是哪种供给组合能以最低全成本带来更高客户长期价值。</w:t>
      </w:r>
    </w:p>
    <w:p w14:paraId="128DB280">
      <w:pPr>
        <w:spacing w:after="80"/>
      </w:pPr>
      <w:r>
        <w:rPr>
          <w:rFonts w:ascii="微软雅黑" w:hAnsi="微软雅黑" w:eastAsia="微软雅黑"/>
          <w:b/>
          <w:color w:val="0F4C81"/>
          <w:sz w:val="21"/>
          <w:highlight w:val="yellow"/>
        </w:rPr>
        <w:t>验证机制补充一：客户成长测量是四道门槛的第一道（对应基本法第 1、2、4 条）</w:t>
      </w:r>
    </w:p>
    <w:p w14:paraId="0B0662D0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四道门槛之首是「客户价值（含教学体验）」，但当前 SSAT、Favor/Rebook、学习效果、固定老师率均未测量，第一道门槛等于空置。建议在验证期以最高优先级建立客户成长指标组：SSAT（课堂满意度）、Favor/Rebook（复购意向）、固定老师率（信任关系）、学习效果（成长结果）。未建立这些度量之前，不做任何供给主轴切换决策——否则验证的只是「供给组合单位经济」，而不是「客户长期价值」。</w:t>
      </w:r>
    </w:p>
    <w:p w14:paraId="0F0C3558">
      <w:pPr>
        <w:spacing w:after="80"/>
      </w:pPr>
      <w:r>
        <w:rPr>
          <w:rFonts w:ascii="微软雅黑" w:hAnsi="微软雅黑" w:eastAsia="微软雅黑"/>
          <w:b/>
          <w:color w:val="0F4C81"/>
          <w:sz w:val="21"/>
          <w:highlight w:val="yellow"/>
        </w:rPr>
        <w:t>验证机制补充二：AI 的角色与边界（对应基本法第 2、8 条）</w:t>
      </w:r>
    </w:p>
    <w:p w14:paraId="5B1641AC">
      <w:pPr>
        <w:spacing w:after="80"/>
      </w:pPr>
      <w:r>
        <w:rPr>
          <w:rFonts w:hint="eastAsia" w:ascii="微软雅黑" w:hAnsi="微软雅黑" w:eastAsia="微软雅黑"/>
          <w:b w:val="0"/>
          <w:color w:val="1F2329"/>
          <w:sz w:val="21"/>
          <w:highlight w:val="yellow"/>
          <w:lang w:eastAsia="zh-CN"/>
        </w:rPr>
        <w:t>leader</w:t>
      </w: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命题是「订阅制 × Center × AI」，但本方案正文未拆解 AI 的职责。建议明确：AI 负责规模化分析、推荐、执行与监控（出勤预测、老师匹配推荐、异常预警、同口径看板自动化）；人负责使命、复杂判断、信任沟通与最终责任（老师筛选最终拍板、客户信任沟通、质量认定）。数据边界、权限边界、责任边界必须清晰——AI 结论不能替代人对教育结果和客户信任的最终责任。若暂不设计 AI，应在方案中显式声明「AI 另立专题」，不可默认其已存在。</w:t>
      </w:r>
    </w:p>
    <w:p w14:paraId="28033F39">
      <w:pPr>
        <w:pStyle w:val="3"/>
        <w:keepNext/>
        <w:spacing w:before="280" w:after="120"/>
      </w:pPr>
      <w:r>
        <w:rPr>
          <w:rFonts w:hint="eastAsia" w:ascii="微软雅黑" w:hAnsi="微软雅黑" w:eastAsia="微软雅黑"/>
          <w:b/>
          <w:color w:val="0F4C81"/>
          <w:sz w:val="28"/>
        </w:rPr>
        <w:t>四、关键前置问题一：订阅制能否支付得起 Center/供给组合</w:t>
      </w:r>
    </w:p>
    <w:p w14:paraId="3B39E6B0">
      <w:pPr>
        <w:spacing w:after="120"/>
      </w:pPr>
      <w:r>
        <w:rPr>
          <w:rFonts w:hint="eastAsia" w:ascii="微软雅黑" w:hAnsi="微软雅黑" w:eastAsia="微软雅黑"/>
          <w:b/>
          <w:color w:val="1F2329"/>
          <w:sz w:val="21"/>
          <w:lang w:eastAsia="zh-CN"/>
        </w:rPr>
        <w:t>你</w:t>
      </w:r>
      <w:r>
        <w:rPr>
          <w:rFonts w:hint="eastAsia" w:ascii="微软雅黑" w:hAnsi="微软雅黑" w:eastAsia="微软雅黑"/>
          <w:b/>
          <w:color w:val="1F2329"/>
          <w:sz w:val="21"/>
        </w:rPr>
        <w:t>文档中的这条表述——“将订阅制业务与以少量自建 Center 为核心的智能化外教供应链绑定，形成一条完整的第二曲线验证链”——方向上成立，但目前中间缺一座财务桥：自建 Center 的财务数据和订阅制的财务模型都不存在，而订阅制“每月收、随时停”的收款结构会根本性地改变这本账。在两个模型补齐之前，“订阅制能否支付得起 Center 成本”是开放问题，不能作为已验证前提。</w:t>
      </w:r>
    </w:p>
    <w:p w14:paraId="01DABF32">
      <w:pPr>
        <w:spacing w:after="80"/>
      </w:pPr>
      <w:r>
        <w:rPr>
          <w:rFonts w:hint="eastAsia" w:ascii="微软雅黑" w:hAnsi="微软雅黑" w:eastAsia="微软雅黑"/>
          <w:b/>
          <w:color w:val="1F2329"/>
          <w:sz w:val="21"/>
        </w:rPr>
        <w:t>• 现金流时间差（场景假设）：若客户按月支付且留存曲线近似稳定，平均回款时点会晚于预收模式；具体缺口取决于 ARPU、退款、CAC 和 cohort，不能直接用固定 5-6 个月作为结论。</w:t>
      </w:r>
    </w:p>
    <w:p w14:paraId="13CDC370">
      <w:pPr>
        <w:spacing w:after="80"/>
      </w:pPr>
      <w:r>
        <w:rPr>
          <w:rFonts w:hint="eastAsia" w:ascii="微软雅黑" w:hAnsi="微软雅黑" w:eastAsia="微软雅黑"/>
          <w:b/>
          <w:color w:val="1F2329"/>
          <w:sz w:val="21"/>
        </w:rPr>
        <w:t>• 风险归属反转：预收模式下客户 Day 1 大额支付，订阅“随时停”则把流失风险更多转回公司。95%/90%/85% 月留存对应约 20/10/6.7 个月的几何生命周期只是算术场景，生命周期对留存高度敏感，不能概括为“每降 5 个百分点近乎减半”，应以真实 cohort 校准。</w:t>
      </w:r>
    </w:p>
    <w:p w14:paraId="7064CAE2">
      <w:pPr>
        <w:spacing w:after="80"/>
      </w:pPr>
      <w:r>
        <w:rPr>
          <w:rFonts w:hint="eastAsia" w:ascii="微软雅黑" w:hAnsi="微软雅黑" w:eastAsia="微软雅黑"/>
          <w:b/>
          <w:color w:val="1F2329"/>
          <w:sz w:val="21"/>
        </w:rPr>
        <w:t>• 满座率成为盈亏核心杠杆：7 月利用率 77.6% 意味着仍有开放时段未被消化（3 月曾为 58.8%）。预收模式下闲置可由后续销课消化，订阅模式下闲置更直接形成当月收入缺口；国内高峰 66-70% vs 海外高峰 100-105% 的时段错配会侵蚀每席位有效订阅收入。</w:t>
      </w:r>
    </w:p>
    <w:p w14:paraId="005064BC">
      <w:pPr>
        <w:spacing w:after="80"/>
      </w:pPr>
      <w:r>
        <w:rPr>
          <w:rFonts w:hint="eastAsia" w:ascii="微软雅黑" w:hAnsi="微软雅黑" w:eastAsia="微软雅黑"/>
          <w:b/>
          <w:color w:val="1F2329"/>
          <w:sz w:val="21"/>
        </w:rPr>
        <w:t>• “15 个月打平”需要重新定义口径：月收模式下现金回收期可能长于会计回收期。在订阅留存 cohort、Center 全成本和现金流曲线出来之前，任何打平假设都只是场景测算。</w:t>
      </w:r>
    </w:p>
    <w:p w14:paraId="10B723BF">
      <w:pPr>
        <w:spacing w:before="120" w:after="120"/>
      </w:pPr>
      <w:r>
        <w:rPr>
          <w:rFonts w:hint="eastAsia" w:ascii="微软雅黑" w:hAnsi="微软雅黑" w:eastAsia="微软雅黑"/>
          <w:b/>
          <w:color w:val="0F4C81"/>
          <w:sz w:val="21"/>
        </w:rPr>
        <w:t>最小验证模型（假设，不是已测结果）：单位贡献 = 有效订阅者数 × ARPU − 可变交付成本 − 分摊的 Center/管理成本。扩张前需同时满足单位贡献为正、现金安全线不被突破、客户价值门槛达标；每个变量按市场×时段×课程分层归集。</w:t>
      </w:r>
    </w:p>
    <w:p w14:paraId="0E1CBCB9">
      <w:pPr>
        <w:spacing w:after="200"/>
      </w:pPr>
      <w:r>
        <w:rPr>
          <w:rFonts w:hint="eastAsia" w:ascii="微软雅黑" w:hAnsi="微软雅黑" w:eastAsia="微软雅黑"/>
          <w:b w:val="0"/>
          <w:color w:val="6B7280"/>
          <w:sz w:val="21"/>
        </w:rPr>
        <w:t>建议：模型补齐之前，新增扩张性资本开支设阶段闸门，维持性投入例外；验证期由存量 Cebu CBT、候选 TBT 和 HBT 组成可撤回的供给组合，不把任何一类供给写成既定主轴。此问题已列入行动表（“Center 全成本模型”与“订阅制财务模型”两行）。</w:t>
      </w:r>
    </w:p>
    <w:p w14:paraId="31E9D1C7">
      <w:pPr>
        <w:pStyle w:val="3"/>
        <w:keepNext/>
        <w:spacing w:before="280" w:after="0"/>
      </w:pPr>
      <w:r>
        <w:rPr>
          <w:rFonts w:hint="eastAsia" w:ascii="微软雅黑" w:hAnsi="微软雅黑" w:eastAsia="微软雅黑"/>
          <w:b/>
          <w:sz w:val="28"/>
        </w:rPr>
        <w:t>五、关键前置问题二：订阅制的毛利与经营贡献——好老师应该给谁？</w:t>
      </w:r>
    </w:p>
    <w:p w14:paraId="61159DAA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订阅制的毛利与经营贡献目前没有数据：单节毛利、cohort 留存曲线、LTV/CAC 均未建立。台湾预收模式“财务数据好看”可能来自 Day 1 全额现金回款、销售效率和预收确认节奏；这是现金流/确认节奏优势，不等于毛利或长期经营贡献，仍需扣除退费、折损与履约成本核算。</w:t>
      </w:r>
    </w:p>
    <w:p w14:paraId="64711AAF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好老师分配的本质是边际价值问题：预收模式中老师主要影响体验课转化与续费，订阅模式中老师可能更直接影响月留存、复约和投诉；这是待验证的机制假设，不能先写成订阅模式弹性一定更高。两种模式应采用同一套老师质量定义和客户结果指标。</w:t>
      </w:r>
    </w:p>
    <w:p w14:paraId="7D2F80B1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另一个事实：台湾当前的瓶颈未必在供给侧——出席率 72.6% 为 8 个市场最高，订单节奏却仅 59.4%。向台湾追加好老师不一定解决主要问题，但也不能用台湾的单一市场结果否定教师质量对其他市场的影响。</w:t>
      </w:r>
    </w:p>
    <w:p w14:paraId="54774762">
      <w:pPr>
        <w:spacing w:after="0"/>
      </w:pPr>
      <w:r>
        <w:rPr>
          <w:rFonts w:hint="eastAsia" w:ascii="微软雅黑" w:hAnsi="微软雅黑" w:eastAsia="微软雅黑"/>
          <w:b/>
          <w:sz w:val="21"/>
        </w:rPr>
        <w:t>分配原则建议（验证期）：</w:t>
      </w:r>
    </w:p>
    <w:p w14:paraId="1CD9079D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• 既有利润池/对照业务保底：台湾老师池质量不降级，保证实验有稳定对照；</w:t>
      </w:r>
    </w:p>
    <w:p w14:paraId="77C05E79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• 公平测试：订阅试点老师池在同市场、同课程、同资历口径下达到预先确认的质量门槛，否则不能把实验失败归因于模式；</w:t>
      </w:r>
    </w:p>
    <w:p w14:paraId="18D1BB16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• 早期信号：3 个月只用于观察“好老师 → 转化/满意度/月留存”的方向性弹性，最终分配以更长 cohort 和单位贡献复核。</w:t>
      </w:r>
    </w:p>
    <w:p w14:paraId="269DD4C5">
      <w:pPr>
        <w:spacing w:after="0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决策规则（待测）：按市场和课程分别估算好老师对体验转化、月留存、投诉/退费、产能的边际贡献，再与老师成本和供给机会成本比较；不预设跨市场均值，也不使用量纲不一致的单一不等式。</w:t>
      </w:r>
    </w:p>
    <w:p w14:paraId="7B2B4D47">
      <w:pPr>
        <w:spacing w:after="0"/>
        <w:rPr>
          <w:rFonts w:hint="eastAsia" w:ascii="微软雅黑" w:hAnsi="微软雅黑" w:eastAsia="微软雅黑"/>
          <w:b w:val="0"/>
          <w:sz w:val="21"/>
        </w:rPr>
      </w:pPr>
    </w:p>
    <w:p w14:paraId="65200A4D">
      <w:pPr>
        <w:spacing w:after="0"/>
      </w:pPr>
      <w:r>
        <w:rPr>
          <w:rFonts w:hint="eastAsia" w:ascii="微软雅黑" w:hAnsi="微软雅黑" w:eastAsia="微软雅黑"/>
          <w:b/>
          <w:color w:val="0F4C81"/>
          <w:sz w:val="28"/>
          <w:lang w:val="en-US" w:eastAsia="zh-CN"/>
        </w:rPr>
        <w:t>六</w:t>
      </w:r>
      <w:r>
        <w:rPr>
          <w:rFonts w:hint="eastAsia" w:ascii="微软雅黑" w:hAnsi="微软雅黑" w:eastAsia="微软雅黑"/>
          <w:b/>
          <w:color w:val="0F4C81"/>
          <w:sz w:val="28"/>
        </w:rPr>
        <w:t>、向</w:t>
      </w:r>
      <w:r>
        <w:rPr>
          <w:rFonts w:hint="eastAsia" w:ascii="微软雅黑" w:hAnsi="微软雅黑" w:eastAsia="微软雅黑"/>
          <w:b/>
          <w:color w:val="0F4C81"/>
          <w:sz w:val="28"/>
          <w:lang w:eastAsia="zh-CN"/>
        </w:rPr>
        <w:t>你</w:t>
      </w:r>
      <w:r>
        <w:rPr>
          <w:rFonts w:hint="eastAsia" w:ascii="微软雅黑" w:hAnsi="微软雅黑" w:eastAsia="微软雅黑"/>
          <w:b/>
          <w:color w:val="0F4C81"/>
          <w:sz w:val="28"/>
        </w:rPr>
        <w:t>提出的六个请求</w:t>
      </w:r>
    </w:p>
    <w:p w14:paraId="0D78EA41">
      <w:pPr>
        <w:spacing w:after="80" w:line="312" w:lineRule="auto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1. 把文档定位从“第二曲线结论”调整为“联合经营实验方案”，设 6-9 个月验证期，用同口径数据决定扩张节奏；</w:t>
      </w:r>
    </w:p>
    <w:p w14:paraId="42E4B9DE">
      <w:pPr>
        <w:spacing w:after="80" w:line="312" w:lineRule="auto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2. 明确 Cebu CBT 在验证期的角色边界——它服务体验课、付费课，还是订阅制全链路？这决定对照组怎么设计、成本怎么归集；</w:t>
      </w:r>
    </w:p>
    <w:p w14:paraId="1BE8D5A9">
      <w:pPr>
        <w:spacing w:after="80" w:line="312" w:lineRule="auto"/>
      </w:pPr>
      <w:r>
        <w:rPr>
          <w:rFonts w:ascii="等线" w:hAnsi="等线" w:eastAsia="等线"/>
          <w:sz w:val="21"/>
        </w:rPr>
        <w:t>3. 重写 Hub-and-Spoke 角色分工：Cebu CBT 先承担培训/认证/标杆功能；TBT 与 HBT 共同作为供给候选和对照，3-5 个中心试点验证“能力扩张”复制路径，再决定是否大规模铺开。</w:t>
      </w:r>
    </w:p>
    <w:p w14:paraId="5A7ED8EE">
      <w:pPr>
        <w:spacing w:after="80"/>
      </w:pPr>
      <w:r>
        <w:rPr>
          <w:rFonts w:hint="eastAsia" w:ascii="微软雅黑" w:hAnsi="微软雅黑" w:eastAsia="微软雅黑"/>
          <w:b w:val="0"/>
          <w:color w:val="1F2329"/>
          <w:sz w:val="21"/>
        </w:rPr>
        <w:t>4. 在 Center 全成本模型与订阅制财务模型补齐之前，对新增扩张性自建 Center 资本开支设阶段闸门；存量 Cebu CBT、候选 TBT 与 HBT 承接验证负载，维持性投入不受影响。</w:t>
      </w:r>
    </w:p>
    <w:p w14:paraId="00AAA217">
      <w:pPr>
        <w:spacing w:after="0"/>
      </w:pPr>
      <w:r>
        <w:rPr>
          <w:rFonts w:hint="eastAsia" w:ascii="微软雅黑" w:hAnsi="微软雅黑" w:eastAsia="微软雅黑"/>
          <w:b w:val="0"/>
          <w:sz w:val="21"/>
        </w:rPr>
        <w:t>5. 明确订阅验证期的老师供给原则：既有对照业务不降级、订阅试点配齐达标老师、3 个月先看早期信号并在更长 cohort 后按边际贡献定分配——避免好老师分配演变为“哪个业务声量大就给谁”。</w:t>
      </w:r>
    </w:p>
    <w:p w14:paraId="6100B88B">
      <w:r>
        <w:rPr>
          <w:rFonts w:ascii="等线" w:hAnsi="等线" w:eastAsia="等线"/>
          <w:sz w:val="21"/>
        </w:rPr>
        <w:t>6. 把“TBT 从 19% 扩到 40%”明确为待验证的课量情景，而不是已批准的扩张结论：新 OVS 数据支持先把 TBT 作为交付稳定性优先候选，但必须验证该优势能否转化为教学体验、体验课转化、付费留存和单位经济；再决定供给侧重分配，新增铺点为辅。</w:t>
      </w:r>
    </w:p>
    <w:p w14:paraId="3723ECC1">
      <w:pPr>
        <w:spacing w:after="80"/>
      </w:pPr>
      <w:r>
        <w:rPr>
          <w:rFonts w:ascii="微软雅黑" w:hAnsi="微软雅黑" w:eastAsia="微软雅黑"/>
          <w:b/>
          <w:color w:val="0F4C81"/>
          <w:sz w:val="21"/>
          <w:highlight w:val="yellow"/>
        </w:rPr>
        <w:t>验证期责任分工（对应基本法第 7、9 条）——Owner 与 Deadline 待</w:t>
      </w:r>
      <w:r>
        <w:rPr>
          <w:rFonts w:hint="eastAsia" w:ascii="微软雅黑" w:hAnsi="微软雅黑" w:eastAsia="微软雅黑"/>
          <w:b/>
          <w:color w:val="0F4C81"/>
          <w:sz w:val="21"/>
          <w:highlight w:val="yellow"/>
          <w:lang w:eastAsia="zh-CN"/>
        </w:rPr>
        <w:t>leader</w:t>
      </w:r>
      <w:r>
        <w:rPr>
          <w:rFonts w:ascii="微软雅黑" w:hAnsi="微软雅黑" w:eastAsia="微软雅黑"/>
          <w:b/>
          <w:color w:val="0F4C81"/>
          <w:sz w:val="21"/>
          <w:highlight w:val="yellow"/>
        </w:rPr>
        <w:t>确认实名</w:t>
      </w:r>
    </w:p>
    <w:p w14:paraId="12317F3C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 xml:space="preserve">1. 定位调整与验证期设限：Owner 建议 慧茹 + </w:t>
      </w:r>
      <w:r>
        <w:rPr>
          <w:rFonts w:hint="eastAsia" w:ascii="微软雅黑" w:hAnsi="微软雅黑" w:eastAsia="微软雅黑"/>
          <w:b w:val="0"/>
          <w:color w:val="1F2329"/>
          <w:sz w:val="21"/>
          <w:highlight w:val="yellow"/>
          <w:lang w:eastAsia="zh-CN"/>
        </w:rPr>
        <w:t>leader</w:t>
      </w: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，T+3 确认；</w:t>
      </w:r>
    </w:p>
    <w:p w14:paraId="48669F40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2. Cebu CBT 角色边界：Owner 建议 外教运营 + 供应链负责人，T+7；</w:t>
      </w:r>
    </w:p>
    <w:p w14:paraId="18273812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3. Hub-and-Spoke 角色分工与 3-5 中心试点：Owner 建议 外教运营 + TPCAP 团队，T+15 出试点方案；</w:t>
      </w:r>
    </w:p>
    <w:p w14:paraId="40C2575B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4. 财务模型与资本闸门：Owner 建议 财务 BP + 订阅业务，T+15 两模型、T+20 现金安全线；</w:t>
      </w:r>
    </w:p>
    <w:p w14:paraId="3BDBB790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5. 老师供给原则：Owner 建议 外教运营 + TPCAP，T+20；</w:t>
      </w:r>
    </w:p>
    <w:p w14:paraId="5DB3104B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6. TBT 扩张节奏重估：Owner 建议 供应链负责人 + 数据负责人，T+30；</w:t>
      </w:r>
    </w:p>
    <w:p w14:paraId="08EB3D50">
      <w:pPr>
        <w:spacing w:after="80"/>
      </w:pPr>
      <w:r>
        <w:rPr>
          <w:rFonts w:ascii="微软雅黑" w:hAnsi="微软雅黑" w:eastAsia="微软雅黑"/>
          <w:b w:val="0"/>
          <w:color w:val="1F2329"/>
          <w:sz w:val="21"/>
          <w:highlight w:val="yellow"/>
        </w:rPr>
        <w:t>7. 客户成长测量（新增，第一道门槛）：Owner 建议 外教运营 + 数据负责人，T+10 口径冻结、周度出数。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26DE8"/>
    <w:rsid w:val="08870365"/>
    <w:rsid w:val="3EA3354D"/>
    <w:rsid w:val="49F171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8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7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8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8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8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8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8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7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7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3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37">
    <w:name w:val="Body Text 2 Char"/>
    <w:basedOn w:val="132"/>
    <w:link w:val="28"/>
    <w:qFormat/>
    <w:uiPriority w:val="99"/>
  </w:style>
  <w:style w:type="character" w:customStyle="1" w:styleId="138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9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0">
    <w:name w:val="Header Char"/>
    <w:basedOn w:val="132"/>
    <w:link w:val="25"/>
    <w:qFormat/>
    <w:uiPriority w:val="99"/>
  </w:style>
  <w:style w:type="character" w:customStyle="1" w:styleId="14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2">
    <w:name w:val="List Paragraph"/>
    <w:basedOn w:val="1"/>
    <w:qFormat/>
    <w:uiPriority w:val="34"/>
    <w:pPr>
      <w:ind w:left="720"/>
      <w:contextualSpacing/>
    </w:pPr>
  </w:style>
  <w:style w:type="character" w:customStyle="1" w:styleId="143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5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6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1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8">
    <w:name w:val="Quote"/>
    <w:basedOn w:val="1"/>
    <w:next w:val="1"/>
    <w:link w:val="16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2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3">
    <w:name w:val="Body Text Char"/>
    <w:basedOn w:val="132"/>
    <w:link w:val="19"/>
    <w:qFormat/>
    <w:uiPriority w:val="99"/>
  </w:style>
  <w:style w:type="character" w:customStyle="1" w:styleId="154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56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8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9">
    <w:name w:val="Intense Quote Char"/>
    <w:basedOn w:val="13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60">
    <w:name w:val="Intense Quote"/>
    <w:basedOn w:val="1"/>
    <w:next w:val="1"/>
    <w:link w:val="18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Footer Char"/>
    <w:basedOn w:val="132"/>
    <w:link w:val="24"/>
    <w:qFormat/>
    <w:uiPriority w:val="99"/>
  </w:style>
  <w:style w:type="paragraph" w:customStyle="1" w:styleId="162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3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Quote Char1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5">
    <w:name w:val="Heading 1 Char1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6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7">
    <w:name w:val="Heading 6 Char1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8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9">
    <w:name w:val="Heading 2 Char1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0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Heading 9 Char1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2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73">
    <w:name w:val="Macro Text Char1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74">
    <w:name w:val="Title Char1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5">
    <w:name w:val="Body Text 2 Char1"/>
    <w:basedOn w:val="132"/>
    <w:link w:val="28"/>
    <w:qFormat/>
    <w:uiPriority w:val="99"/>
  </w:style>
  <w:style w:type="character" w:customStyle="1" w:styleId="176">
    <w:name w:val="Heading 5 Char1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7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8">
    <w:name w:val="Heading 4 Char1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79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80">
    <w:name w:val="Body Text 3 Char1"/>
    <w:basedOn w:val="132"/>
    <w:link w:val="17"/>
    <w:qFormat/>
    <w:uiPriority w:val="99"/>
    <w:rPr>
      <w:sz w:val="16"/>
      <w:szCs w:val="16"/>
    </w:rPr>
  </w:style>
  <w:style w:type="character" w:customStyle="1" w:styleId="181">
    <w:name w:val="Subtitle Char1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2">
    <w:name w:val="Intense Quote Char1"/>
    <w:basedOn w:val="132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Heading 7 Char1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4">
    <w:name w:val="Heading 3 Char1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5">
    <w:name w:val="Heading 8 Char1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86">
    <w:name w:val="Body Text Char1"/>
    <w:basedOn w:val="132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6221</Words>
  <Characters>7961</Characters>
  <TotalTime>5</TotalTime>
  <ScaleCrop>false</ScaleCrop>
  <LinksUpToDate>false</LinksUpToDate>
  <CharactersWithSpaces>8631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2026-08-20T14:32:00Z</dcterms:created>
  <dc:creator>xulon</dc:creator>
  <dc:description>基于 v6，补充海外 OVS HBT/TBT 对比数据及口径桥</dc:description>
  <cp:lastModifiedBy>Katherine/올빼미</cp:lastModifiedBy>
  <dcterms:modified xsi:type="dcterms:W3CDTF">2026-08-21T02:30:07Z</dcterms:modified>
  <dc:subject>供应链模式联合经营实验方案反馈</dc:subject>
  <dc:title>给老板的反馈：供应链模式与验证方案 v7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eyJoZGlkIjoiYTBhMWU0YzUzNmJlYjUzMWI4ZWQ3NjVmYTlkZjg2YTkiLCJ1c2VySWQiOiI0NzMyNjkxMzMifQ==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3E3764E0329F4BB49F526D36D0167D15_12</vt:lpwstr>
  </property>
</Properties>
</file>