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一体机</w:t>
      </w:r>
      <w:r>
        <w:rPr>
          <w:highlight w:val="none"/>
        </w:rPr>
        <w:t>：</w:t>
      </w:r>
      <w:r>
        <w:rPr>
          <w:rFonts w:hint="eastAsia"/>
          <w:highlight w:val="none"/>
        </w:rPr>
        <w:t>2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风向    </w:t>
      </w:r>
      <w:r>
        <w:rPr>
          <w:rFonts w:hint="eastAsia"/>
          <w:highlight w:val="none"/>
          <w:lang w:val="en-US" w:eastAsia="zh-CN"/>
        </w:rPr>
        <w:t>1-360</w:t>
      </w:r>
      <w:r>
        <w:rPr>
          <w:rFonts w:hint="eastAsia"/>
          <w:highlight w:val="none"/>
        </w:rPr>
        <w:t xml:space="preserve">                     </w:t>
      </w:r>
      <w:r>
        <w:rPr>
          <w:rFonts w:hint="eastAsia"/>
          <w:highlight w:val="none"/>
          <w:lang w:val="en-US" w:eastAsia="zh-CN"/>
        </w:rPr>
        <w:t>以正北为0°度，顺时针旋转，一圈360度。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风速    </w:t>
      </w:r>
      <w:r>
        <w:rPr>
          <w:rFonts w:hint="eastAsia"/>
          <w:highlight w:val="none"/>
          <w:lang w:val="en-US" w:eastAsia="zh-CN"/>
        </w:rPr>
        <w:t>1-10</w:t>
      </w:r>
      <w:r>
        <w:rPr>
          <w:rFonts w:hint="eastAsia"/>
          <w:highlight w:val="none"/>
        </w:rPr>
        <w:t xml:space="preserve">                     </w:t>
      </w:r>
      <w:r>
        <w:rPr>
          <w:rFonts w:hint="eastAsia"/>
          <w:highlight w:val="none"/>
          <w:lang w:val="en-US" w:eastAsia="zh-CN"/>
        </w:rPr>
        <w:t>m/s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/>
    <w:p>
      <w:pPr>
        <w:pStyle w:val="5"/>
        <w:spacing w:before="156"/>
        <w:rPr>
          <w:rFonts w:hint="eastAsia" w:ascii="Times New Roman" w:hAnsi="Times New Roman" w:eastAsia="黑体" w:cs="Times New Roman"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/>
          <w:kern w:val="2"/>
          <w:sz w:val="28"/>
          <w:szCs w:val="32"/>
          <w:lang w:val="en-US" w:eastAsia="zh-CN" w:bidi="ar-SA"/>
        </w:rPr>
        <w:t>生物Content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>
      <w:bookmarkStart w:id="0" w:name="_GoBack"/>
      <w:bookmarkEnd w:id="0"/>
    </w:p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eastAsia="zh-CN"/>
        </w:rPr>
      </w:pPr>
      <w:r>
        <w:t>协议号：</w:t>
      </w:r>
      <w:r>
        <w:rPr>
          <w:rFonts w:hint="eastAsia"/>
          <w:lang w:val="en-US" w:eastAsia="zh-CN"/>
        </w:rPr>
        <w:t>10263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3846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设置减压阀数</w:t>
      </w:r>
      <w:r>
        <w:rPr>
          <w:rFonts w:hint="eastAsia"/>
        </w:rPr>
        <w:t>值：</w:t>
      </w:r>
    </w:p>
    <w:p>
      <w:pPr>
        <w:rPr>
          <w:rFonts w:hint="default" w:eastAsiaTheme="minorEastAsia"/>
          <w:lang w:val="en-US" w:eastAsia="zh-CN"/>
        </w:rPr>
      </w:pPr>
      <w:r>
        <w:rPr>
          <w:highlight w:val="yellow"/>
        </w:rPr>
        <w:t>协议号：</w:t>
      </w:r>
      <w:r>
        <w:t>10</w:t>
      </w:r>
      <w:r>
        <w:rPr>
          <w:rFonts w:hint="eastAsia"/>
          <w:lang w:val="en-US" w:eastAsia="zh-CN"/>
        </w:rPr>
        <w:t>613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ReliefThreshold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ascii="Times New Roman"/>
                <w:kern w:val="0"/>
              </w:rPr>
              <w:t xml:space="preserve">      </w:t>
            </w:r>
            <w:r>
              <w:rPr>
                <w:rFonts w:hint="eastAsia" w:ascii="Times New Roman"/>
                <w:kern w:val="0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 w:eastAsiaTheme="minorEastAsia"/>
                <w:kern w:val="0"/>
                <w:lang w:eastAsia="zh-CN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  <w:r>
              <w:rPr>
                <w:rFonts w:hint="eastAsia" w:ascii="Times New Roman"/>
                <w:kern w:val="0"/>
                <w:lang w:eastAsia="zh-CN"/>
              </w:rPr>
              <w:t>（</w:t>
            </w:r>
            <w:r>
              <w:rPr>
                <w:rFonts w:hint="eastAsia" w:ascii="Times New Roman"/>
                <w:kern w:val="0"/>
                <w:lang w:val="en-US" w:eastAsia="zh-CN"/>
              </w:rPr>
              <w:t>0.35-0.45mpa</w:t>
            </w:r>
            <w:r>
              <w:rPr>
                <w:rFonts w:hint="eastAsia" w:ascii="Times New Roman"/>
                <w:kern w:val="0"/>
                <w:lang w:eastAsia="zh-CN"/>
              </w:rPr>
              <w:t>）</w:t>
            </w:r>
          </w:p>
        </w:tc>
      </w:tr>
    </w:tbl>
    <w:p>
      <w:pPr>
        <w:pStyle w:val="3"/>
        <w:numPr>
          <w:ilvl w:val="1"/>
          <w:numId w:val="0"/>
        </w:numPr>
        <w:spacing w:before="156"/>
        <w:ind w:leftChars="0"/>
      </w:pPr>
    </w:p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1066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234E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0D1E4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B1BE0"/>
    <w:rsid w:val="035F3B76"/>
    <w:rsid w:val="03AF786B"/>
    <w:rsid w:val="03EA43FF"/>
    <w:rsid w:val="03F84D1F"/>
    <w:rsid w:val="0405748B"/>
    <w:rsid w:val="04325498"/>
    <w:rsid w:val="0433224A"/>
    <w:rsid w:val="04376BAE"/>
    <w:rsid w:val="043E2986"/>
    <w:rsid w:val="046E3282"/>
    <w:rsid w:val="046E547D"/>
    <w:rsid w:val="0475403A"/>
    <w:rsid w:val="04C85301"/>
    <w:rsid w:val="05097DDA"/>
    <w:rsid w:val="050E411D"/>
    <w:rsid w:val="051A268B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4E74D4"/>
    <w:rsid w:val="066D45C4"/>
    <w:rsid w:val="06790550"/>
    <w:rsid w:val="068639D1"/>
    <w:rsid w:val="06983979"/>
    <w:rsid w:val="06996AFE"/>
    <w:rsid w:val="06B1011E"/>
    <w:rsid w:val="06DB3344"/>
    <w:rsid w:val="06DF53B8"/>
    <w:rsid w:val="06F7790B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87D2F65"/>
    <w:rsid w:val="09260AF2"/>
    <w:rsid w:val="092C6895"/>
    <w:rsid w:val="093920B1"/>
    <w:rsid w:val="09694443"/>
    <w:rsid w:val="09885D9B"/>
    <w:rsid w:val="09D30D2D"/>
    <w:rsid w:val="09D9119E"/>
    <w:rsid w:val="09F44A3D"/>
    <w:rsid w:val="0A00497C"/>
    <w:rsid w:val="0AB6328D"/>
    <w:rsid w:val="0AEA1F18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7E0007"/>
    <w:rsid w:val="0D895E94"/>
    <w:rsid w:val="0DCC5D27"/>
    <w:rsid w:val="0DE211E2"/>
    <w:rsid w:val="0DE40111"/>
    <w:rsid w:val="0DEF3AA3"/>
    <w:rsid w:val="0DF06AB6"/>
    <w:rsid w:val="0E5200CF"/>
    <w:rsid w:val="0E586643"/>
    <w:rsid w:val="0E586B2F"/>
    <w:rsid w:val="0E7C47EE"/>
    <w:rsid w:val="0EF1564A"/>
    <w:rsid w:val="0F194243"/>
    <w:rsid w:val="0F6D64A3"/>
    <w:rsid w:val="0F9D4A1B"/>
    <w:rsid w:val="0FA47B58"/>
    <w:rsid w:val="0FBF07AC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041A46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0E709F"/>
    <w:rsid w:val="15253DF5"/>
    <w:rsid w:val="15431F91"/>
    <w:rsid w:val="154A6185"/>
    <w:rsid w:val="15712BD2"/>
    <w:rsid w:val="157F6D3F"/>
    <w:rsid w:val="15CE063D"/>
    <w:rsid w:val="15E651CC"/>
    <w:rsid w:val="15E74C42"/>
    <w:rsid w:val="15FB55F2"/>
    <w:rsid w:val="16195EAA"/>
    <w:rsid w:val="162F3887"/>
    <w:rsid w:val="1653052A"/>
    <w:rsid w:val="16726CDF"/>
    <w:rsid w:val="167A55E0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995551"/>
    <w:rsid w:val="19B83FAE"/>
    <w:rsid w:val="1A225770"/>
    <w:rsid w:val="1A3C5044"/>
    <w:rsid w:val="1A5358A1"/>
    <w:rsid w:val="1A6525DA"/>
    <w:rsid w:val="1A711CCF"/>
    <w:rsid w:val="1A9C424D"/>
    <w:rsid w:val="1AA346FF"/>
    <w:rsid w:val="1AAF4C8E"/>
    <w:rsid w:val="1AE275DA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123AF"/>
    <w:rsid w:val="1D8334A3"/>
    <w:rsid w:val="1DC100E9"/>
    <w:rsid w:val="1DE31327"/>
    <w:rsid w:val="1E0B5246"/>
    <w:rsid w:val="1E5B5BC0"/>
    <w:rsid w:val="1E92026F"/>
    <w:rsid w:val="1E92670F"/>
    <w:rsid w:val="1EA9648F"/>
    <w:rsid w:val="1EC908E0"/>
    <w:rsid w:val="1F095CDB"/>
    <w:rsid w:val="1F1D387D"/>
    <w:rsid w:val="1F6B6F81"/>
    <w:rsid w:val="1F961176"/>
    <w:rsid w:val="1FC06A73"/>
    <w:rsid w:val="1FC972B5"/>
    <w:rsid w:val="1FCC0CF4"/>
    <w:rsid w:val="2029033A"/>
    <w:rsid w:val="20870939"/>
    <w:rsid w:val="20C83A6E"/>
    <w:rsid w:val="20F070A1"/>
    <w:rsid w:val="21462D32"/>
    <w:rsid w:val="215B41C8"/>
    <w:rsid w:val="215C1C4A"/>
    <w:rsid w:val="21A577F9"/>
    <w:rsid w:val="21AD1366"/>
    <w:rsid w:val="21BF4458"/>
    <w:rsid w:val="21EE0419"/>
    <w:rsid w:val="22246619"/>
    <w:rsid w:val="222774F9"/>
    <w:rsid w:val="224F7E4E"/>
    <w:rsid w:val="225C1C80"/>
    <w:rsid w:val="229B303C"/>
    <w:rsid w:val="22CD4CBD"/>
    <w:rsid w:val="2309391D"/>
    <w:rsid w:val="231227D0"/>
    <w:rsid w:val="236D484A"/>
    <w:rsid w:val="237F47FB"/>
    <w:rsid w:val="239E588E"/>
    <w:rsid w:val="23BF6BAF"/>
    <w:rsid w:val="23CA2AD3"/>
    <w:rsid w:val="240F1E9F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53589D"/>
    <w:rsid w:val="257654E2"/>
    <w:rsid w:val="25CD6E77"/>
    <w:rsid w:val="25E1670C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1EDA"/>
    <w:rsid w:val="29317AB5"/>
    <w:rsid w:val="29374483"/>
    <w:rsid w:val="297B2462"/>
    <w:rsid w:val="297C59C4"/>
    <w:rsid w:val="29AD0FC1"/>
    <w:rsid w:val="29AD116F"/>
    <w:rsid w:val="29AF223A"/>
    <w:rsid w:val="29AF73CD"/>
    <w:rsid w:val="29EA557F"/>
    <w:rsid w:val="2A0140CD"/>
    <w:rsid w:val="2A2B5DEB"/>
    <w:rsid w:val="2A4346E5"/>
    <w:rsid w:val="2A5C1303"/>
    <w:rsid w:val="2A685EFA"/>
    <w:rsid w:val="2A690AAB"/>
    <w:rsid w:val="2A850EED"/>
    <w:rsid w:val="2A88659C"/>
    <w:rsid w:val="2A8E6314"/>
    <w:rsid w:val="2AA77F6A"/>
    <w:rsid w:val="2AEC4567"/>
    <w:rsid w:val="2B157704"/>
    <w:rsid w:val="2B313D7C"/>
    <w:rsid w:val="2B5A6C9D"/>
    <w:rsid w:val="2B5F3697"/>
    <w:rsid w:val="2B612949"/>
    <w:rsid w:val="2B634913"/>
    <w:rsid w:val="2B714350"/>
    <w:rsid w:val="2BB313F7"/>
    <w:rsid w:val="2C103BEE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D268F2"/>
    <w:rsid w:val="2DF761D5"/>
    <w:rsid w:val="2DFB52D7"/>
    <w:rsid w:val="2E6D2EEE"/>
    <w:rsid w:val="2E821927"/>
    <w:rsid w:val="2E865ADB"/>
    <w:rsid w:val="2E9421CD"/>
    <w:rsid w:val="2EAC037F"/>
    <w:rsid w:val="2ED17572"/>
    <w:rsid w:val="2EFA538C"/>
    <w:rsid w:val="2F4800A8"/>
    <w:rsid w:val="2F4F61FE"/>
    <w:rsid w:val="2F5702EB"/>
    <w:rsid w:val="2F5716BB"/>
    <w:rsid w:val="2F594063"/>
    <w:rsid w:val="2F6E0E36"/>
    <w:rsid w:val="2FC31341"/>
    <w:rsid w:val="2FCE11B6"/>
    <w:rsid w:val="2FE87B65"/>
    <w:rsid w:val="30405223"/>
    <w:rsid w:val="30405760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BC608F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0780"/>
    <w:rsid w:val="34B73B90"/>
    <w:rsid w:val="34B8751A"/>
    <w:rsid w:val="34C969D8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5D6EAC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645866"/>
    <w:rsid w:val="38B44EC3"/>
    <w:rsid w:val="38D8249D"/>
    <w:rsid w:val="38FC3DC7"/>
    <w:rsid w:val="3925443F"/>
    <w:rsid w:val="393578EF"/>
    <w:rsid w:val="394F2215"/>
    <w:rsid w:val="39A607ED"/>
    <w:rsid w:val="39C1373B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BE977FD"/>
    <w:rsid w:val="3C6329C5"/>
    <w:rsid w:val="3C67109B"/>
    <w:rsid w:val="3CA9094F"/>
    <w:rsid w:val="3CC72DC1"/>
    <w:rsid w:val="3CE31410"/>
    <w:rsid w:val="3D6C7658"/>
    <w:rsid w:val="3D6F7647"/>
    <w:rsid w:val="3D861328"/>
    <w:rsid w:val="3D9B1CEB"/>
    <w:rsid w:val="3DBA50E5"/>
    <w:rsid w:val="3E021534"/>
    <w:rsid w:val="3E212D1C"/>
    <w:rsid w:val="3E310B4F"/>
    <w:rsid w:val="3E630A5B"/>
    <w:rsid w:val="3E9C3A2F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2F57EE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46148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C71A80"/>
    <w:rsid w:val="47E81FD1"/>
    <w:rsid w:val="48457423"/>
    <w:rsid w:val="486B2A1E"/>
    <w:rsid w:val="4891323C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9614A4"/>
    <w:rsid w:val="4ABA44CC"/>
    <w:rsid w:val="4AD23B2D"/>
    <w:rsid w:val="4B48724B"/>
    <w:rsid w:val="4BAE1F23"/>
    <w:rsid w:val="4BB52B12"/>
    <w:rsid w:val="4C0B3A1A"/>
    <w:rsid w:val="4C43011D"/>
    <w:rsid w:val="4C4A325A"/>
    <w:rsid w:val="4C4D1B19"/>
    <w:rsid w:val="4C5B41DB"/>
    <w:rsid w:val="4C687B84"/>
    <w:rsid w:val="4C726AF2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AF5E80"/>
    <w:rsid w:val="4DBF1A26"/>
    <w:rsid w:val="4DD95A7F"/>
    <w:rsid w:val="4E7E543D"/>
    <w:rsid w:val="4EBD22C9"/>
    <w:rsid w:val="4EC106FD"/>
    <w:rsid w:val="4EDE5E4E"/>
    <w:rsid w:val="4EF37BD9"/>
    <w:rsid w:val="4F2A37F1"/>
    <w:rsid w:val="4F3212A1"/>
    <w:rsid w:val="4F756B1E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B9392C"/>
    <w:rsid w:val="51CB489B"/>
    <w:rsid w:val="51F35CC1"/>
    <w:rsid w:val="51FD0B29"/>
    <w:rsid w:val="526C2DA9"/>
    <w:rsid w:val="527D4240"/>
    <w:rsid w:val="52A7490E"/>
    <w:rsid w:val="52C27FEE"/>
    <w:rsid w:val="52D1488F"/>
    <w:rsid w:val="52D65847"/>
    <w:rsid w:val="52F21F55"/>
    <w:rsid w:val="53067615"/>
    <w:rsid w:val="5330458B"/>
    <w:rsid w:val="533D58C6"/>
    <w:rsid w:val="534722A1"/>
    <w:rsid w:val="53476745"/>
    <w:rsid w:val="535501B6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A14293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0D6A65"/>
    <w:rsid w:val="5A27795C"/>
    <w:rsid w:val="5A4A7F48"/>
    <w:rsid w:val="5A623E64"/>
    <w:rsid w:val="5A807473"/>
    <w:rsid w:val="5A8838A1"/>
    <w:rsid w:val="5AA92D3A"/>
    <w:rsid w:val="5AC50A08"/>
    <w:rsid w:val="5AE350A9"/>
    <w:rsid w:val="5AE67E70"/>
    <w:rsid w:val="5AF14D61"/>
    <w:rsid w:val="5BBE7423"/>
    <w:rsid w:val="5BD0328B"/>
    <w:rsid w:val="5BD4669C"/>
    <w:rsid w:val="5BE34B31"/>
    <w:rsid w:val="5BFD66EE"/>
    <w:rsid w:val="5C1C1FA4"/>
    <w:rsid w:val="5C233EC0"/>
    <w:rsid w:val="5C7304FF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AB28EC"/>
    <w:rsid w:val="5FCC63D2"/>
    <w:rsid w:val="60791F08"/>
    <w:rsid w:val="607E307A"/>
    <w:rsid w:val="60846B07"/>
    <w:rsid w:val="609A173F"/>
    <w:rsid w:val="60A64F23"/>
    <w:rsid w:val="60DB671F"/>
    <w:rsid w:val="60EB4077"/>
    <w:rsid w:val="60EF6065"/>
    <w:rsid w:val="61247172"/>
    <w:rsid w:val="612D62FB"/>
    <w:rsid w:val="615D7134"/>
    <w:rsid w:val="618D5C6B"/>
    <w:rsid w:val="618E081D"/>
    <w:rsid w:val="61A86601"/>
    <w:rsid w:val="61E35514"/>
    <w:rsid w:val="61EA4E6B"/>
    <w:rsid w:val="61FD772E"/>
    <w:rsid w:val="625F10C0"/>
    <w:rsid w:val="62723CD3"/>
    <w:rsid w:val="628E0F8C"/>
    <w:rsid w:val="628F77C1"/>
    <w:rsid w:val="62D0245B"/>
    <w:rsid w:val="635F3637"/>
    <w:rsid w:val="63807109"/>
    <w:rsid w:val="638D75A1"/>
    <w:rsid w:val="63FE69AC"/>
    <w:rsid w:val="64395C36"/>
    <w:rsid w:val="648B231B"/>
    <w:rsid w:val="648C1D1D"/>
    <w:rsid w:val="649B50BF"/>
    <w:rsid w:val="64A40793"/>
    <w:rsid w:val="64B259E8"/>
    <w:rsid w:val="64D43BB1"/>
    <w:rsid w:val="64F54930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CD20E1"/>
    <w:rsid w:val="65DD6A95"/>
    <w:rsid w:val="660C4D63"/>
    <w:rsid w:val="66115CBD"/>
    <w:rsid w:val="66283B35"/>
    <w:rsid w:val="66794A10"/>
    <w:rsid w:val="66C433AA"/>
    <w:rsid w:val="671865AC"/>
    <w:rsid w:val="673F78EB"/>
    <w:rsid w:val="677B0314"/>
    <w:rsid w:val="67995473"/>
    <w:rsid w:val="679B274E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9E87E7C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CC9415E"/>
    <w:rsid w:val="6D237483"/>
    <w:rsid w:val="6D3E5710"/>
    <w:rsid w:val="6D3F07B7"/>
    <w:rsid w:val="6D437B25"/>
    <w:rsid w:val="6DD5762A"/>
    <w:rsid w:val="6DF40E20"/>
    <w:rsid w:val="6E184B0E"/>
    <w:rsid w:val="6E4419A4"/>
    <w:rsid w:val="6E8009D3"/>
    <w:rsid w:val="6E855D45"/>
    <w:rsid w:val="6E904B72"/>
    <w:rsid w:val="6EDA1DC4"/>
    <w:rsid w:val="6EE57E40"/>
    <w:rsid w:val="6F071C98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524F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716705"/>
    <w:rsid w:val="72821928"/>
    <w:rsid w:val="72CF7246"/>
    <w:rsid w:val="72E80C02"/>
    <w:rsid w:val="72F62F44"/>
    <w:rsid w:val="731004AA"/>
    <w:rsid w:val="733F2B3D"/>
    <w:rsid w:val="734801FF"/>
    <w:rsid w:val="737722D7"/>
    <w:rsid w:val="73BF18C8"/>
    <w:rsid w:val="73DB0AB8"/>
    <w:rsid w:val="73DE2356"/>
    <w:rsid w:val="73E111AC"/>
    <w:rsid w:val="73E72A46"/>
    <w:rsid w:val="741479F0"/>
    <w:rsid w:val="74854505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353FAD"/>
    <w:rsid w:val="786D7CB2"/>
    <w:rsid w:val="78A47758"/>
    <w:rsid w:val="78BC253A"/>
    <w:rsid w:val="78C31B1A"/>
    <w:rsid w:val="78EA70A7"/>
    <w:rsid w:val="79301DD5"/>
    <w:rsid w:val="793732B3"/>
    <w:rsid w:val="799020E1"/>
    <w:rsid w:val="799C4845"/>
    <w:rsid w:val="79D17AFA"/>
    <w:rsid w:val="79DC7338"/>
    <w:rsid w:val="79DE434D"/>
    <w:rsid w:val="79F53625"/>
    <w:rsid w:val="79FF6215"/>
    <w:rsid w:val="7A1845EE"/>
    <w:rsid w:val="7A492DB0"/>
    <w:rsid w:val="7A6A1ECE"/>
    <w:rsid w:val="7A6A66F1"/>
    <w:rsid w:val="7A996FD7"/>
    <w:rsid w:val="7AC5017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BF6128A"/>
    <w:rsid w:val="7C0D37D8"/>
    <w:rsid w:val="7C270134"/>
    <w:rsid w:val="7C43544C"/>
    <w:rsid w:val="7C487CFF"/>
    <w:rsid w:val="7C672C9A"/>
    <w:rsid w:val="7C7E1E1D"/>
    <w:rsid w:val="7C997A2A"/>
    <w:rsid w:val="7C9C7907"/>
    <w:rsid w:val="7CA54159"/>
    <w:rsid w:val="7CCB4D1D"/>
    <w:rsid w:val="7D212FD5"/>
    <w:rsid w:val="7D2970CB"/>
    <w:rsid w:val="7D3E470B"/>
    <w:rsid w:val="7D6308BF"/>
    <w:rsid w:val="7D7F6408"/>
    <w:rsid w:val="7D880DD3"/>
    <w:rsid w:val="7DFD787D"/>
    <w:rsid w:val="7E096221"/>
    <w:rsid w:val="7E1352F2"/>
    <w:rsid w:val="7E527BC8"/>
    <w:rsid w:val="7E747BB1"/>
    <w:rsid w:val="7EEA7E01"/>
    <w:rsid w:val="7F45772D"/>
    <w:rsid w:val="7FBB79EF"/>
    <w:rsid w:val="7FCF1BAA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27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2024-07-17T12:37:17Z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