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sz w:val="32"/>
          <w:szCs w:val="32"/>
        </w:rPr>
        <w:t xml:space="preserve">JESSIE CHAN</w:t>
      </w:r>
    </w:p>
    <w:p>
      <w:pPr>
        <w:spacing w:after="14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London, UK  |  chan.jicheng@gmail.com  |  +44 (0) 7751 544 790  |  linkedin.com/in/ji-cheng-chan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Fintech/crypto marketer owning go-to-market, regulated customer communications and product adoption across retail, wealth and institutional products in 26 markets. I use AI to solve go-to-market problems, and build the automation, reporting, MCP and API integrations and internal bots the team runs on. I work directly with Compliance, Legal, Product and Engineering in a regulated environment, and bring a data-science research background.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EXPERIENCE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Institutional and Retail Growth Marketing Intern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May 2026 – Present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Blockchain.com, London, United Kingdom  |  Retail, Wealth and Institutional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Grew cumulative perps trading volume 5x, from $100m to $500m in two months, with voice-of-customer research surveying active, inactive and churned users to improve product experience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Converted 4 clients onto the loans product in Malaysia, developing its go-to-market across competitor review, brand and tone, and KOL, affiliate and referral partnerships, and establishing a compliance review process for the new market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Sourced 3 major high net worth clients by identifying an acquisition opportunity during the MiCAR transition, building an 80-publisher contact list with AI and running the outreach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Generated 20+ active leads for Institutional business development by building a 100-operator prospect database, working with B2B Product Marketing on Institutional and Wealth projects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Localised CRM communications into 24 languages with API tools, increasing email open rate by 10%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Tested product messaging across 26 countries through 128 structured tests, scaling 5 winning campaign groups and cutting UK acquisition cost by 21.5% while volume rose 30.2%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Automated daily performance reporting with Claude Code and led its launch as a company-wide Streamlit dashboard with Data Engineering and Security, saving the team ~10 hours a month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the company's first in-house AI content production workflow, delivering 100+ video assets, cutting production time by 75% and lifting CTR by 188%</w:t>
      </w:r>
    </w:p>
    <w:p>
      <w:pPr>
        <w:tabs>
          <w:tab w:val="right" w:pos="10466"/>
        </w:tabs>
        <w:spacing w:after="10" w:before="10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Performance Marketer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Feb 2025 – Apr 2026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/>
          <w:iCs/>
          <w:sz w:val="20"/>
          <w:szCs w:val="20"/>
        </w:rPr>
        <w:t xml:space="preserve">Malaberg, London, United Kingdom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Built a company-wide automated reporting pipeline on lead conversion, cutting daily report preparation from 30 min to almost immediate output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Increased daily conversions from 10 to 50+ (5x) by rebuilding landing and promotional pages in Figma and Photoshop, informed by funnel analysis in Power BI, Excel and Microsoft Clarity, increased funnel progression by 5%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Managed £50k+ monthly paid budget with full accountability for efficiency, sustaining 120% ROAS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MRes Experimental Psychology with Data Science, University of Manchester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High Distinction. Experimental design, causal inference and statistical analysis in R.</w:t>
      </w:r>
    </w:p>
    <w:p>
      <w:pPr>
        <w:tabs>
          <w:tab w:val="right" w:pos="10466"/>
        </w:tabs>
        <w:spacing w:after="10" w:before="9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BSc (Hons) Psychology, University of Exeter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	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2020 – 2023</w:t>
      </w:r>
    </w:p>
    <w:p>
      <w:pPr>
        <w:pBdr>
          <w:bottom w:val="single" w:color="999999" w:sz="6" w:space="2"/>
        </w:pBdr>
        <w:spacing w:after="80" w:before="12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Product marketing: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Go-to-market and launch planning, positioning and messaging, competitive analysis, lifecycle and CRM communications, product page and app-store content, KOL, affiliate and referral partnerships, financial promotions approval (UK FinProm, Adclear);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Customer insight: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Survey design and segmentation, customer and competitor research (Appfollow), funnel and cohort analysis, structured test design, Power BI, Excel, Microsoft Clarity, R, Python, SQL;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AI &amp; automation: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Automation workflows (Claude Code, Cursor), MCP and API integrations (Windsor.ai), vibe-coded apps and bots (deployed on fly.io), AI content workflow design, tools: Runway, Jitter, Gemini, ElevenLabs;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Creative &amp; channels: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Creative briefing and direction, agency and partner management, Figma, Photoshop, Apple Search Ads, Google Ads, Meta, TikTok, LinkedIn;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Personal interest: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Digital assets, business psychology, languages, martial arts, weightlifting; </w:t>
      </w:r>
      <w:r>
        <w:rPr>
          <w:rFonts w:ascii="Calibri" w:cs="Calibri" w:eastAsia="Calibri" w:hAnsi="Calibri"/>
          <w:b/>
          <w:bCs/>
          <w:i w:val="false"/>
          <w:iCs w:val="fals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0"/>
          <w:szCs w:val="20"/>
        </w:rPr>
        <w:t xml:space="preserve">English, Mandarin, Cantonese (native), Malay (fluent)</w:t>
      </w:r>
    </w:p>
    <w:sectPr>
      <w:pgSz w:w="11906" w:h="16838" w:orient="portrait"/>
      <w:pgMar w:top="640" w:right="720" w:bottom="64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2026-10-29T13:09:13.280Z</dcterms:created>
  <dcterms:modified xsi:type="dcterms:W3CDTF">2026-10-29T13:09:13.283Z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