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owning go-to-market, regulated customer communications and product adoption across retail, wealth and institutional products in 26 markets. I use AI to solve go-to-market problems, and build the automation, reporting, MCP and API integrations and internal bots the team runs on. I work directly with Compliance, Legal, Product and Engineering in a regulated environment,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5x, from $100m to $500m in two months, and user retention by 12% through voice-of-customer research with active, inactive and churned users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leading its go-to-market across competitor review, brand and tone, and KOL, affiliate and referral partnerships,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identifying an acquisition opportunity during the MiCAR transition, building an 80-publisher contact list with AI and running the outreach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working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24 languages with API tools,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tests, scaling 5 winning campaign groups and cutting UK acquisition cost by 21.5% while volume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performance reporting with Claude Code and led its launch as a company-wide Streamlit dashboard with Data Engineering and Security, saving the team ~10 hours a month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the company's first in-house AI content production workflow, delivering 100+ video assets, cutting production time by 75% and lifting CTR by 188%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 and launch planning, positioning and messaging, competitive analysis, lifecycle and CRM communications, product page and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Customer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and competitor research (Appfollow), funnel and cohort analysis, structured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content workflow design,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channels: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2026-10-29T13:23:47.606Z</dcterms:created>
  <dcterms:modified xsi:type="dcterms:W3CDTF">2026-10-29T13:23:47.611Z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