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owning go-to-market, regulated customer communications and product adoption across retail, wealth and institutional products in 26 markets. I use AI to solve go-to-market problems, and build the automation, reporting, MCP and API integrations and internal bots the team runs on. I work directly with Compliance, Legal, Product and Engineering in a regulated environment,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Drove adoption of the loans product in Malaysia, converting 4 clients through a go-to-market plan covering competitor review, positioning, brand and tone,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building an outreach channel of 80 crypto publishers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Designed and launched a customer survey across 3 segments with 114 responses, using the findings to [ADD: what changed — e.g. reposition a product, prioritise a segment or campaign]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Equipped Institutional business development with a 100-operator prospect database, working with B2B Product Marketing on Institutional and Wealth projects, [ADD: result — e.g. X meetings booked or $X pipeline]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[ADD: number] languages with API tools,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Launched refreshed Personal and Earn product pages and app-store content across 20 storefronts and 20+ Custom Product Pages in 12 markets, all cleared through Compliance, [ADD: result — e.g. store conversion up X%]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tests, scaling 5 winning campaign groups and cutting UK acquisition cost by 21.5% while volume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performance reporting with Claude Code and led its launch as a company-wide Streamlit dashboard with Data Engineering and Security, saving the team ~10 hours a month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the company's first in-house AI content production workflow, delivering 100+ video assets, cutting production time by 75% and lifting CTR by 188%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Compliance reviews of all customer-facing consumer-finance messaging across channels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 and Microsoft Clarity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 and launch planning, positioning and messaging, competitive analysis, lifecycle and CRM communications, product page and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Customer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and competitor research (Appfollow), funnel and cohort analysis, structured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content workflow design,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channels: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2026-10-29T12:29:19.255Z</dcterms:created>
  <dcterms:modified xsi:type="dcterms:W3CDTF">2026-10-29T12:29:19.258Z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