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Drove adoption of the loans product in Malaysia, converting 4 clients through a go-to-market plan covering competitor review, positioning,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with voice-of-customer research surveying active, inactive and churned users to improve product experience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[ADD: number]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and app-store content across 20 storefronts and 20+ Custom Product Pages in 12 markets, all cleared through Compliance, [ADD: result — e.g. store conversion up X%]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2026-10-29T12:56:56.264Z</dcterms:created>
  <dcterms:modified xsi:type="dcterms:W3CDTF">2026-10-29T12:56:56.265Z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