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32"/>
          <w:szCs w:val="32"/>
        </w:rPr>
        <w:t xml:space="preserve">JESSIE CHAN</w:t>
      </w:r>
    </w:p>
    <w:p>
      <w:pPr>
        <w:spacing w:after="1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London, UK  |  chan.jicheng@gmail.com  |  +44 (0) 7751 544 790  |  linkedin.com/in/ji-cheng-chan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Fintech/crypto growth marketer with hands-on ownership of paid acquisition across five channels and 26 markets, plus the creative, app-store and reporting systems behind it. I use AI to solve growth problems, most recently building an AI UGC workflow from scratch that cut CPI by 76% and increased acquisition volume by 15%. Experienced in managing retail, wealth and institutional products in a regulated environment, with a data-science research background.</w:t>
      </w:r>
    </w:p>
    <w:p>
      <w:pPr>
        <w:pBdr>
          <w:bottom w:val="single" w:color="999999" w:sz="6" w:space="2"/>
        </w:pBdr>
        <w:spacing w:after="80" w:before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EXPERIENCE</w:t>
      </w:r>
    </w:p>
    <w:p>
      <w:pPr>
        <w:tabs>
          <w:tab w:val="right" w:pos="10466"/>
        </w:tabs>
        <w:spacing w:after="10" w:before="10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Growth Marketing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May 2026 – Present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Blockchain.com, London, United Kingdom  |  Retail, Wealth and Institutional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Developed an AI-powered UGC production workflow, delivering 100+ video assets across TikTok and Google Ads, increasing CTR from 0.4% to 1.15% (+188%), reducing CPI from $25 to $6 (−76%), and cutting production time by 75%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Automated daily paid media channels reporting with Claude Code and Cursor, cutting 30 min/day of manual work, and partnered with Data Engineering and Security to publish it as an internal dashboard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Reduced CPI on UK campaigns by 21.5% while installs increased 30.2%, and scaled the core US campaign to 3x daily users acquired through CPP and SKAG testing and optimization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Built an outreach channel of 80 crypto publishers for high net worth client acquisition that sourced 3 major clients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Supported Retail, Wealth and Institutional growth customer research and prospecting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Ran 128 structured campaign tests across 26 countries, identifying 5 scalable campaign groups and reallocating budget away from 26 underperforming campaigns</w:t>
      </w:r>
    </w:p>
    <w:p>
      <w:pPr>
        <w:tabs>
          <w:tab w:val="right" w:pos="10466"/>
        </w:tabs>
        <w:spacing w:after="10" w:before="10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Performance Marketer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Feb 2025 – Apr 2026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Malaberg, London, United Kingdom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Managed £50k+ monthly paid budget managing ads and conversion funnels, sustaining 120% ROAS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Increased daily conversions from 10 to 50+ (5x) by rebuilding landing and promotional pages in Figma and Photoshop, informed by funnel analysis in Power BI, Excel and Microsoft Clarity, contributing to +5% funnel progression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Built a company-wide automated reporting pipeline on lead conversion, cutting daily report preparation from 30+ min to almost immediate output</w:t>
      </w:r>
    </w:p>
    <w:p>
      <w:pPr>
        <w:pBdr>
          <w:bottom w:val="single" w:color="999999" w:sz="6" w:space="2"/>
        </w:pBdr>
        <w:spacing w:after="80" w:before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EDUCATION</w:t>
      </w:r>
    </w:p>
    <w:p>
      <w:pPr>
        <w:tabs>
          <w:tab w:val="right" w:pos="10466"/>
        </w:tabs>
        <w:spacing w:after="10" w:before="9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MRes Experimental Psychology with Data Science, University of Manchester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2023 – 2024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High Distinction. Experimental design, causal inference and statistical analysis in R.</w:t>
      </w:r>
    </w:p>
    <w:p>
      <w:pPr>
        <w:tabs>
          <w:tab w:val="right" w:pos="10466"/>
        </w:tabs>
        <w:spacing w:after="10" w:before="9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BSc (Hons) Psychology, University of Exeter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2020 – 2023</w:t>
      </w:r>
    </w:p>
    <w:p>
      <w:pPr>
        <w:pBdr>
          <w:bottom w:val="single" w:color="999999" w:sz="6" w:space="2"/>
        </w:pBdr>
        <w:spacing w:after="80" w:before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AI &amp; automation: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Claude Code, Cursor, MCP and API integrations (Windsor.ai), AI UGC workflows (avatar, voice, motion, video), vibe-coded apps and bots (fly.io)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AI creative tools: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Runway, Jitter, Gemini, Seedance, Wan, Seeaudio, ElevenLabs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Paid media: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Apple Search Ads, Google Ads, Meta, TikTok, LinkedIn, ASO and Custom Product Pages, creative testing, budget allocation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Creative: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Creative briefing and direction, agency and partner management, Figma, Photoshop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Measurement: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AppsFlyer, Apple Search Ads attribution, conversion tracking setup, funnel and cohort analysis, test and survey design, competitor research (Appfollow), Power BI, Excel, Microsoft Clarity, SQL, Python, R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English, Mandarin, Cantonese (native), Malay (fluent)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Interests: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Digital assets, business psychology, languages, martial arts, weightlifting</w:t>
      </w:r>
    </w:p>
    <w:sectPr>
      <w:pgSz w:w="11906" w:h="16838" w:orient="portrait"/>
      <w:pgMar w:top="640" w:right="720" w:bottom="64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2026-10-29T17:33:37.823Z</dcterms:created>
  <dcterms:modified xsi:type="dcterms:W3CDTF">2026-10-29T17:33:37.823Z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