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and stablecoin marketer across retail, wealth and institutional products, working in a regulated environment with Compliance, Product and Engineering. I use AI to solve go-to-market problems, building the automation, reporting and research workflows teams run on rather than one-off content. Hands-on with customer research, segmentation and competitive analysis, with a data-science research background. Multilingual, currently developing market entry for a new product line in Malaysia.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segmented customer research programme across 3 customer segments, returning 114 responses, and turned the findings into positioning and campaign priorities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reporting with Claude Code, cutting 30 min/day of manual work, and partnered with Data Engineering and Security to publish it as an internal dashboard; 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Malaysia: market and competitor review, brand and tone, channel opportunity assessment,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Set customer-facing content standards across 20 app-store storefronts and reviewed regulated messaging across all retail products with Compliance, covering UK, US and EU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AI-powered UGC production workflow from scratch, delivering 100+ video assets and cutting production time by 75%, establishing an in-house capability the team did not previously have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paid acquisition across 5 channels and 26 markets, using 128 structured tests to direct budget and cut CPI on UK campaigns by 21.5% while installs increased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Compliance, setting the standard for regulated consumer-finance messaging across every customer-facing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increasing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programmes,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customer-facing and app-store content, KOL, affiliate and referral partnerships, regulated messaging review with Legal and Compliance;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production, agency and partner management,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2026-10-28T22:29:05.568Z</dcterms:created>
  <dcterms:modified xsi:type="dcterms:W3CDTF">2026-10-28T22:29:05.570Z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