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owning go-to-market, regulated customer communications and product adoption across retail, wealth and institutional products in 26 markets. I use AI to solve go-to-market problems, and build the automation, reporting, MCP and API integrations and internal bots the team runs on. I work directly with Compliance, Legal, Product and Engineering in a regulated environment,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Drove adoption of the loans product in Malaysia, converting 4 clients through a go-to-market plan covering competitor review, positioning, brand and tone, and KOL, affiliate and referral partnerships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cumulative perps trading volume 5x, from $100m to $500m in two months, with voice-of-customer research surveying active, inactive and churned users to improve product experience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Sourced 3 major high net worth clients by building an outreach channel of 80 crypto publishers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Equipped Institutional business development with a 100-operator prospect database, working with B2B Product Marketing on Institutional and Wealth projects, [ADD: result — e.g. X meetings booked or $X pipeline]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Localised CRM communications into [ADD: number] languages with API tools,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Launched refreshed Personal and Earn product pages and app-store content across 20 storefronts and 20+ Custom Product Pages in 12 markets, all cleared through Compliance, [ADD: result — e.g. store conversion up X%]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Tested product messaging across 26 countries through 128 structured tests, scaling 5 winning campaign groups and cutting UK acquisition cost by 21.5% while volume rose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performance reporting with Claude Code and led its launch as a company-wide Streamlit dashboard with Data Engineering and Security, saving the team ~10 hours a month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the company's first in-house AI content production workflow, delivering 100+ video assets, cutting production time by 75% and lifting CTR by 188%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Compliance reviews of all customer-facing consumer-finance messaging across channels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 and Microsoft Clarity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Product marketing: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Go-to-market and launch planning, positioning and messaging, competitive analysis, lifecycle and CRM communications, product page and app-store content, KOL, affiliate and referral partnerships, financial promotions approval (UK FinProm, Adclear);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Customer insight: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Survey design and segmentation, customer and competitor research (Appfollow), funnel and cohort analysis, structured test design, Power BI, Excel, Microsoft Clarity, R, Python, SQL;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Automation workflows (Claude Code, Cursor), MCP and API integrations (Windsor.ai), vibe-coded apps and bots (deployed on fly.io), AI content workflow design, tools: Runway, Jitter, Gemini,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 &amp; channels: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agency and partner management, Figma, Photoshop, Apple Search Ads, Google Ads, Meta, TikTok, LinkedIn;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2026-10-29T12:55:40.500Z</dcterms:created>
  <dcterms:modified xsi:type="dcterms:W3CDTF">2026-10-29T12:55:40.500Z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