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and stablecoin marketer across retail, wealth and institutional products, working in a regulated environment with Compliance, Product and Engineering. I use AI to solve go-to-market problems, building the automation, reporting and research workflows teams run on rather than one-off content. Hands-on with customer research, segmentation and competitive analysis, with a data-science research background. Multilingual, currently developing market entry for a new product line in Malaysia.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ran a segmented customer research programme across 3 customer segments, returning 114 responses, and turned the findings into positioning and campaign priorities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clients, plus a 100-operator database for institutional business development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reporting with Claude Code, cutting 30 min/day of manual work, and partnered with Data Engineering and Security to publish it as an internal dashboard; 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go-to-market for the loans product in Malaysia: market and competitor review, brand and tone, channel opportunity assessment,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Set customer-facing content standards across 20 app-store storefronts and reviewed regulated messaging across all retail products with Compliance, covering UK, US and EU jurisdictions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AI-powered UGC production workflow from scratch, delivering 100+ video assets and cutting production time by 75%, establishing an in-house capability the team did not previously have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paid acquisition across 5 channels and 26 markets, using 128 structured tests to direct budget and cut CPI on UK campaigns by 21.5% while installs increased 30.2%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Compliance, setting the standard for regulated consumer-finance messaging across every customer-facing channel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increasing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programmes,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customer-facing and app-store content, KOL, affiliate and referral partnerships, regulated messaging review with Legal and Compliance;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production, agency and partner management, Figma, Photoshop;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LinkedIn, ASO and Custom Product Page, international campaign structure, creative testing and budget allocation;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2026-10-28T22:21:11.426Z</dcterms:created>
  <dcterms:modified xsi:type="dcterms:W3CDTF">2026-10-28T22:21:11.435Z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