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growth marketer with hands-on ownership of paid acquisition across five channels and 26 markets, plus the creative, app-store and reporting systems behind it. Experience spans retail, wealth and institutional products in a regulated environment, with a data-science research background. Works hands-on: finds the problem, builds the fix, and cuts what does not earn its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search from 187 to 562 daily installs (~3x) while holding CPI flat at ~$1.50, expanding from 2 to 26 countries, 9 to 121 live campaigns and 47 to 2,597 keywords;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cutting 26 underperforming campaigns; reallocating ~$21k of test spend reduced CPI on GB campaigns by 21.5% while installs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creative strategy and production across 9 channels, delivering 30+ briefs and 40 ads, plus 50+ assets to 3 external acquisition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production from ~2 hours to 30 minutes per asset and removing the team's dependence on creator-supplied assets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 in 12 markets;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Wealth and Institutional growth with customer research and prospecting: a segmented survey returning 114 responses at a 14% response rate, an outreach list of 80 crypto publishers and a database of 100 iGaming operators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setup; Apple Search Ads attribution; funnel and cohort analysis; experimental test design; survey design and segmentation;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agency and partner management,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2026-10-28T22:42:16.160Z</dcterms:created>
  <dcterms:modified xsi:type="dcterms:W3CDTF">2026-10-28T22:42:16.160Z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