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sz w:val="32"/>
          <w:szCs w:val="32"/>
        </w:rPr>
        <w:t xml:space="preserve">JESSIE CHAN</w:t>
      </w:r>
    </w:p>
    <w:p>
      <w:pPr>
        <w:spacing w:after="14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London, UK  |  chan.jicheng@gmail.com  |  +44 (0) 7751 544 790  |  linkedin.com/in/ji-cheng-chan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Fintech/crypto marketer with hands-on experience across customer research, regulated customer communications and go-to-market, covering retail, wealth and institutional products in 26 markets. I use AI to solve go-to-market problems, building the automation, reporting, MCP and API integrations and internal bots the team runs on. Experienced in working with Compliance, Legal, Product and Engineering in a regulated environment, with a data-science research background.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EXPERIENCE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Growth Marketing Intern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May 2026 – Present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Blockchain.com, London, United Kingdom  |  Retail, Wealth and Institutional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Converted 4 clients onto the loans product in Malaysia, developing its go-to-market across competitor review, brand and tone, and KOL, affiliate and referral partnerships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Built an outreach channel of 80 crypto publishers for high net worth client acquisition that sourced 3 major clients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Implemented API tools to translate CRM communications into local languages, increasing email open rate by 10%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Developed an AI-powered UGC production workflow, delivering 100+ video assets across TikTok and Google Ads, increasing CTR from 0.4% to 1.15% (+188%), reducing CPI from $25 to $6 (−76%), and cutting production time by 75%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Automated daily paid media reporting with Claude Code, saving the team ~10 hours a month, and partnered with Data Engineering and Security to launch it as a company-wide Streamlit dashboard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Tested product messaging across 26 countries through 128 structured tests, scaling 5 winning campaign groups and cutting UK cost per install by 21.5% while installs rose 30.2%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Launched refreshed Personal and Earn product pages with Front-End Engineering and refreshed app-store content across 20 storefronts, building 20+ Custom Product Pages across 12 markets and 600+ keywords, with all regulated messaging cleared by Compliance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Performance Marketer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Feb 2025 – Apr 2026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Malaberg, London, United Kingdom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Led weekly content reviews with Compliance to clear regulated consumer-finance messaging across all channels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Built a company-wide automated reporting pipeline on lead conversion, cutting daily report preparation from 30 min to almost immediate output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Increased daily conversions from 10 to 50+ (5x) by rebuilding landing and promotional pages in Figma and Photoshop, informed by funnel analysis in Power BI, Excel and Microsoft Clarity, increased funnel progression by 5%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Managed £50k+ monthly paid budget with full accountability for efficiency, sustaining 120% ROAS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EDUCATION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MRes Experimental Psychology with Data Science, University of Manchester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2023 – 2024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High Distinction. Experimental design, causal inference and statistical analysis in R.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BSc (Hons) Psychology, University of Exeter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2020 – 2023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SKILLS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AI &amp; automation: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Automation workflows (Claude Code, Cursor), MCP and API integrations (Windsor.ai), vibe-coded apps and bots (deployed on fly.io), AI UGC workflow design (avatar, voice, motion, video), tools: Runway, Jitter, Gemini, Seedance, Wan, Seeaudio, ElevenLabs;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Research &amp; insight: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Survey design and segmentation, customer research and prospecting, competitor research (Appfollow), funnel and cohort analysis, experimental test design, Power BI, Excel, Microsoft Clarity, R, Python, SQL;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Go-to-market: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Market entry planning, positioning and messaging, brand and tone, CRM and localised customer communications, app-store content, KOL, affiliate and referral partnerships, financial promotions approval (UK FinProm, Adclear);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Creative &amp; paid media: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Creative briefing and direction, agency and partner management, Figma, Photoshop, Apple Search Ads, Google Ads, Meta, TikTok, LinkedIn;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Personal interest: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Digital assets, business psychology, languages, martial arts, weightlifting;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English, Mandarin, Cantonese (native), Malay (fluent)</w:t>
      </w:r>
    </w:p>
    <w:sectPr>
      <w:pgSz w:w="11906" w:h="16838" w:orient="portrait"/>
      <w:pgMar w:top="640" w:right="720" w:bottom="64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16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2026-10-29T12:22:40.207Z</dcterms:created>
  <dcterms:modified xsi:type="dcterms:W3CDTF">2026-10-29T12:22:40.212Z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