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  <w:jc w:val="center"/>
      </w:pPr>
      <w:r>
        <w:rPr>
          <w:rFonts w:ascii="Calibri" w:cs="Calibri" w:eastAsia="Calibri" w:hAnsi="Calibri"/>
          <w:b/>
          <w:bCs/>
          <w:i w:val="false"/>
          <w:iCs w:val="false"/>
          <w:sz w:val="32"/>
          <w:szCs w:val="32"/>
        </w:rPr>
        <w:t xml:space="preserve">JESSIE CHAN</w:t>
      </w:r>
    </w:p>
    <w:p>
      <w:pPr>
        <w:spacing w:after="140"/>
        <w:jc w:val="center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18"/>
          <w:szCs w:val="18"/>
        </w:rPr>
        <w:t xml:space="preserve">London, UK  |  chan.jicheng@gmail.com  |  +44 (0) 7751 544 790  |  linkedin.com/in/ji-cheng-chan</w:t>
      </w:r>
    </w:p>
    <w:p>
      <w:pPr>
        <w:spacing w:after="1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Fintech/crypto marketer owning go-to-market, regulated customer communications and product adoption across retail, wealth and institutional products in 26 markets. I use AI to solve go-to-market problems, and build the automation, reporting, MCP and API integrations and internal bots the team runs on. I work directly with Compliance, Legal, Product and Engineering in a regulated environment, and bring a data-science research background.</w:t>
      </w:r>
    </w:p>
    <w:p>
      <w:pPr>
        <w:pBdr>
          <w:bottom w:val="single" w:color="999999" w:sz="6" w:space="2"/>
        </w:pBdr>
        <w:spacing w:after="80" w:before="120"/>
      </w:pPr>
      <w:r>
        <w:rPr>
          <w:rFonts w:ascii="Calibri" w:cs="Calibri" w:eastAsia="Calibri" w:hAnsi="Calibri"/>
          <w:b/>
          <w:bCs/>
          <w:i w:val="false"/>
          <w:iCs w:val="false"/>
          <w:sz w:val="20"/>
          <w:szCs w:val="20"/>
        </w:rPr>
        <w:t xml:space="preserve">EXPERIENCE</w:t>
      </w:r>
    </w:p>
    <w:p>
      <w:pPr>
        <w:tabs>
          <w:tab w:val="right" w:pos="10466"/>
        </w:tabs>
        <w:spacing w:after="10" w:before="100"/>
      </w:pPr>
      <w:r>
        <w:rPr>
          <w:rFonts w:ascii="Calibri" w:cs="Calibri" w:eastAsia="Calibri" w:hAnsi="Calibri"/>
          <w:b/>
          <w:bCs/>
          <w:i w:val="false"/>
          <w:iCs w:val="false"/>
          <w:sz w:val="20"/>
          <w:szCs w:val="20"/>
        </w:rPr>
        <w:t xml:space="preserve">Growth Marketing Intern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	</w:t>
      </w:r>
      <w:r>
        <w:rPr>
          <w:rFonts w:ascii="Calibri" w:cs="Calibri" w:eastAsia="Calibri" w:hAnsi="Calibri"/>
          <w:b/>
          <w:bCs/>
          <w:i w:val="false"/>
          <w:iCs w:val="false"/>
          <w:sz w:val="20"/>
          <w:szCs w:val="20"/>
        </w:rPr>
        <w:t xml:space="preserve">May 2026 – Present</w:t>
      </w:r>
    </w:p>
    <w:p>
      <w:pPr>
        <w:spacing w:after="60"/>
      </w:pPr>
      <w:r>
        <w:rPr>
          <w:rFonts w:ascii="Calibri" w:cs="Calibri" w:eastAsia="Calibri" w:hAnsi="Calibri"/>
          <w:b w:val="false"/>
          <w:bCs w:val="false"/>
          <w:i/>
          <w:iCs/>
          <w:sz w:val="20"/>
          <w:szCs w:val="20"/>
        </w:rPr>
        <w:t xml:space="preserve">Blockchain.com, London, United Kingdom  |  Retail, Wealth and Institutional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Calibri" w:cs="Calibri" w:eastAsia="Calibri" w:hAnsi="Calibri"/>
          <w:b/>
          <w:bCs/>
          <w:i w:val="false"/>
          <w:iCs w:val="false"/>
          <w:sz w:val="20"/>
          <w:szCs w:val="20"/>
        </w:rPr>
        <w:t xml:space="preserve">Converted 4 clients onto the loans product in Malaysia, developing its go-to-market across competitor review, brand and tone, and KOL, affiliate and referral partnerships, and establishing a compliance review process for the new market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Sourced 3 major high net worth clients by identifying an acquisition opportunity during the MiCAR transition, building an 80-publisher contact list with AI and running the outreach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Grew cumulative perps trading volume 5x, from $100m to $500m in two months, with voice-of-customer research surveying active, inactive and churned users to improve product experience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Generated 20+ active leads for Institutional business development by building a 100-operator prospect database, working with B2B Product Marketing on Institutional and Wealth projects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Localised CRM communications into 24 languages with API tools, increasing email open rate by 10%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Tested product messaging across 26 countries through 128 structured tests, scaling 5 winning campaign groups and cutting UK acquisition cost by 21.5% while volume rose 30.2%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Automated daily performance reporting with Claude Code and led its launch as a company-wide Streamlit dashboard with Data Engineering and Security, saving the team ~10 hours a month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Built the company's first in-house AI content production workflow, delivering 100+ video assets, cutting production time by 75% and lifting CTR by 188%</w:t>
      </w:r>
    </w:p>
    <w:p>
      <w:pPr>
        <w:tabs>
          <w:tab w:val="right" w:pos="10466"/>
        </w:tabs>
        <w:spacing w:after="10" w:before="100"/>
      </w:pPr>
      <w:r>
        <w:rPr>
          <w:rFonts w:ascii="Calibri" w:cs="Calibri" w:eastAsia="Calibri" w:hAnsi="Calibri"/>
          <w:b/>
          <w:bCs/>
          <w:i w:val="false"/>
          <w:iCs w:val="false"/>
          <w:sz w:val="20"/>
          <w:szCs w:val="20"/>
        </w:rPr>
        <w:t xml:space="preserve">Performance Marketer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	</w:t>
      </w:r>
      <w:r>
        <w:rPr>
          <w:rFonts w:ascii="Calibri" w:cs="Calibri" w:eastAsia="Calibri" w:hAnsi="Calibri"/>
          <w:b/>
          <w:bCs/>
          <w:i w:val="false"/>
          <w:iCs w:val="false"/>
          <w:sz w:val="20"/>
          <w:szCs w:val="20"/>
        </w:rPr>
        <w:t xml:space="preserve">Feb 2025 – Apr 2026</w:t>
      </w:r>
    </w:p>
    <w:p>
      <w:pPr>
        <w:spacing w:after="60"/>
      </w:pPr>
      <w:r>
        <w:rPr>
          <w:rFonts w:ascii="Calibri" w:cs="Calibri" w:eastAsia="Calibri" w:hAnsi="Calibri"/>
          <w:b w:val="false"/>
          <w:bCs w:val="false"/>
          <w:i/>
          <w:iCs/>
          <w:sz w:val="20"/>
          <w:szCs w:val="20"/>
        </w:rPr>
        <w:t xml:space="preserve">Malaberg, London, United Kingdom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Led weekly Compliance reviews of all customer-facing consumer-finance messaging across channels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Increased daily conversions from 10 to 50+ (5x) by rebuilding landing and promotional pages in Figma and Photoshop, informed by funnel analysis in Power BI and Microsoft Clarity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Built a company-wide automated reporting pipeline on lead conversion, cutting daily report preparation from 30 min to almost immediate output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Managed £50k+ monthly budget with full accountability for efficiency, sustaining 120% ROAS</w:t>
      </w:r>
    </w:p>
    <w:p>
      <w:pPr>
        <w:pBdr>
          <w:bottom w:val="single" w:color="999999" w:sz="6" w:space="2"/>
        </w:pBdr>
        <w:spacing w:after="80" w:before="120"/>
      </w:pPr>
      <w:r>
        <w:rPr>
          <w:rFonts w:ascii="Calibri" w:cs="Calibri" w:eastAsia="Calibri" w:hAnsi="Calibri"/>
          <w:b/>
          <w:bCs/>
          <w:i w:val="false"/>
          <w:iCs w:val="false"/>
          <w:sz w:val="20"/>
          <w:szCs w:val="20"/>
        </w:rPr>
        <w:t xml:space="preserve">EDUCATION</w:t>
      </w:r>
    </w:p>
    <w:p>
      <w:pPr>
        <w:tabs>
          <w:tab w:val="right" w:pos="10466"/>
        </w:tabs>
        <w:spacing w:after="10" w:before="90"/>
      </w:pPr>
      <w:r>
        <w:rPr>
          <w:rFonts w:ascii="Calibri" w:cs="Calibri" w:eastAsia="Calibri" w:hAnsi="Calibri"/>
          <w:b/>
          <w:bCs/>
          <w:i w:val="false"/>
          <w:iCs w:val="false"/>
          <w:sz w:val="20"/>
          <w:szCs w:val="20"/>
        </w:rPr>
        <w:t xml:space="preserve">MRes Experimental Psychology with Data Science, University of Manchester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	</w:t>
      </w:r>
      <w:r>
        <w:rPr>
          <w:rFonts w:ascii="Calibri" w:cs="Calibri" w:eastAsia="Calibri" w:hAnsi="Calibri"/>
          <w:b/>
          <w:bCs/>
          <w:i w:val="false"/>
          <w:iCs w:val="false"/>
          <w:sz w:val="20"/>
          <w:szCs w:val="20"/>
        </w:rPr>
        <w:t xml:space="preserve">2023 – 2024</w:t>
      </w:r>
    </w:p>
    <w:p>
      <w:pPr>
        <w:spacing w:after="4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High Distinction. Experimental design, causal inference and statistical analysis in R.</w:t>
      </w:r>
    </w:p>
    <w:p>
      <w:pPr>
        <w:tabs>
          <w:tab w:val="right" w:pos="10466"/>
        </w:tabs>
        <w:spacing w:after="10" w:before="90"/>
      </w:pPr>
      <w:r>
        <w:rPr>
          <w:rFonts w:ascii="Calibri" w:cs="Calibri" w:eastAsia="Calibri" w:hAnsi="Calibri"/>
          <w:b/>
          <w:bCs/>
          <w:i w:val="false"/>
          <w:iCs w:val="false"/>
          <w:sz w:val="20"/>
          <w:szCs w:val="20"/>
        </w:rPr>
        <w:t xml:space="preserve">BSc (Hons) Psychology, University of Exeter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	</w:t>
      </w:r>
      <w:r>
        <w:rPr>
          <w:rFonts w:ascii="Calibri" w:cs="Calibri" w:eastAsia="Calibri" w:hAnsi="Calibri"/>
          <w:b/>
          <w:bCs/>
          <w:i w:val="false"/>
          <w:iCs w:val="false"/>
          <w:sz w:val="20"/>
          <w:szCs w:val="20"/>
        </w:rPr>
        <w:t xml:space="preserve">2020 – 2023</w:t>
      </w:r>
    </w:p>
    <w:p>
      <w:pPr>
        <w:pBdr>
          <w:bottom w:val="single" w:color="999999" w:sz="6" w:space="2"/>
        </w:pBdr>
        <w:spacing w:after="80" w:before="120"/>
      </w:pPr>
      <w:r>
        <w:rPr>
          <w:rFonts w:ascii="Calibri" w:cs="Calibri" w:eastAsia="Calibri" w:hAnsi="Calibri"/>
          <w:b/>
          <w:bCs/>
          <w:i w:val="false"/>
          <w:iCs w:val="false"/>
          <w:sz w:val="20"/>
          <w:szCs w:val="20"/>
        </w:rPr>
        <w:t xml:space="preserve">SKILLS</w:t>
      </w:r>
    </w:p>
    <w:p>
      <w:pPr>
        <w:spacing w:after="60"/>
      </w:pPr>
      <w:r>
        <w:rPr>
          <w:rFonts w:ascii="Calibri" w:cs="Calibri" w:eastAsia="Calibri" w:hAnsi="Calibri"/>
          <w:b/>
          <w:bCs/>
          <w:i w:val="false"/>
          <w:iCs w:val="false"/>
          <w:sz w:val="20"/>
          <w:szCs w:val="20"/>
        </w:rPr>
        <w:t xml:space="preserve">Product marketing: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Go-to-market and launch planning, positioning and messaging, competitive analysis, lifecycle and CRM communications, product page and app-store content, KOL, affiliate and referral partnerships, financial promotions approval (UK FinProm, Adclear); </w:t>
      </w:r>
      <w:r>
        <w:rPr>
          <w:rFonts w:ascii="Calibri" w:cs="Calibri" w:eastAsia="Calibri" w:hAnsi="Calibri"/>
          <w:b/>
          <w:bCs/>
          <w:i w:val="false"/>
          <w:iCs w:val="false"/>
          <w:sz w:val="20"/>
          <w:szCs w:val="20"/>
        </w:rPr>
        <w:t xml:space="preserve">Customer insight: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Survey design and segmentation, customer and competitor research (Appfollow), funnel and cohort analysis, structured test design, Power BI, Excel, Microsoft Clarity, R, Python, SQL; </w:t>
      </w:r>
      <w:r>
        <w:rPr>
          <w:rFonts w:ascii="Calibri" w:cs="Calibri" w:eastAsia="Calibri" w:hAnsi="Calibri"/>
          <w:b/>
          <w:bCs/>
          <w:i w:val="false"/>
          <w:iCs w:val="false"/>
          <w:sz w:val="20"/>
          <w:szCs w:val="20"/>
        </w:rPr>
        <w:t xml:space="preserve">AI &amp; automation: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Automation workflows (Claude Code, Cursor), MCP and API integrations (Windsor.ai), vibe-coded apps and bots (deployed on fly.io), AI content workflow design, tools: Runway, Jitter, Gemini, ElevenLabs; </w:t>
      </w:r>
      <w:r>
        <w:rPr>
          <w:rFonts w:ascii="Calibri" w:cs="Calibri" w:eastAsia="Calibri" w:hAnsi="Calibri"/>
          <w:b/>
          <w:bCs/>
          <w:i w:val="false"/>
          <w:iCs w:val="false"/>
          <w:sz w:val="20"/>
          <w:szCs w:val="20"/>
        </w:rPr>
        <w:t xml:space="preserve">Creative &amp; channels: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Creative briefing and direction, agency and partner management, Figma, Photoshop, Apple Search Ads, Google Ads, Meta, TikTok, LinkedIn; </w:t>
      </w:r>
      <w:r>
        <w:rPr>
          <w:rFonts w:ascii="Calibri" w:cs="Calibri" w:eastAsia="Calibri" w:hAnsi="Calibri"/>
          <w:b/>
          <w:bCs/>
          <w:i w:val="false"/>
          <w:iCs w:val="false"/>
          <w:sz w:val="20"/>
          <w:szCs w:val="20"/>
        </w:rPr>
        <w:t xml:space="preserve">Personal interest: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Digital assets, business psychology, languages, martial arts, weightlifting; </w:t>
      </w:r>
      <w:r>
        <w:rPr>
          <w:rFonts w:ascii="Calibri" w:cs="Calibri" w:eastAsia="Calibri" w:hAnsi="Calibri"/>
          <w:b/>
          <w:bCs/>
          <w:i w:val="false"/>
          <w:iCs w:val="false"/>
          <w:sz w:val="20"/>
          <w:szCs w:val="20"/>
        </w:rPr>
        <w:t xml:space="preserve">Languages: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English, Mandarin, Cantonese (native), Malay (fluent)</w:t>
      </w:r>
    </w:p>
    <w:sectPr>
      <w:pgSz w:w="11906" w:h="16838" w:orient="portrait"/>
      <w:pgMar w:top="640" w:right="720" w:bottom="640" w:left="72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316" w:hanging="23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defaultTabStop w:val="720"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after="200"/>
    </w:pPr>
    <w:rPr>
      <w:i/>
      <w:iCs/>
      <w:color w:val="44546A" w:themeColor="dark2"/>
      <w:sz w:val="18"/>
      <w:szCs w:val="18"/>
    </w:rPr>
  </w:style>
  <w:style w:type="paragraph" w:styleId="Bibliography">
    <w:name w:val="Bibliography"/>
    <w:basedOn w:val="Normal"/>
    <w:next w:val="Normal"/>
    <w:uiPriority w:val="37"/>
    <w:unhideWhenUsed/>
  </w:style>
  <w:style w:type="paragraph" w:styleId="TOC1">
    <w:name w:val="toc 1"/>
    <w:basedOn w:val="Normal"/>
    <w:next w:val="Normal"/>
    <w:uiPriority w:val="39"/>
    <w:semiHidden/>
    <w:unhideWhenUsed/>
    <w:pPr>
      <w:spacing w:after="100"/>
    </w:pPr>
  </w:style>
  <w:style w:type="paragraph" w:styleId="TOC2">
    <w:name w:val="toc 2"/>
    <w:basedOn w:val="Normal"/>
    <w:next w:val="Normal"/>
    <w:uiPriority w:val="39"/>
    <w:semiHidden/>
    <w:unhideWhenUsed/>
    <w:pPr>
      <w:spacing w:after="100"/>
      <w:ind w:left="200"/>
    </w:pPr>
  </w:style>
  <w:style w:type="paragraph" w:styleId="TOC3">
    <w:name w:val="toc 3"/>
    <w:basedOn w:val="Normal"/>
    <w:next w:val="Normal"/>
    <w:uiPriority w:val="39"/>
    <w:semiHidden/>
    <w:unhideWhenUsed/>
    <w:pPr>
      <w:spacing w:after="100"/>
      <w:ind w:left="400"/>
    </w:pPr>
  </w:style>
  <w:style w:type="paragraph" w:styleId="TOC4">
    <w:name w:val="toc 4"/>
    <w:basedOn w:val="Normal"/>
    <w:next w:val="Normal"/>
    <w:uiPriority w:val="39"/>
    <w:semiHidden/>
    <w:unhideWhenUsed/>
    <w:pPr>
      <w:spacing w:after="100"/>
      <w:ind w:left="600"/>
    </w:pPr>
  </w:style>
  <w:style w:type="paragraph" w:styleId="TOC5">
    <w:name w:val="toc 5"/>
    <w:basedOn w:val="Normal"/>
    <w:next w:val="Normal"/>
    <w:uiPriority w:val="39"/>
    <w:semiHidden/>
    <w:unhideWhenUsed/>
    <w:pPr>
      <w:spacing w:after="100"/>
      <w:ind w:left="800"/>
    </w:pPr>
  </w:style>
  <w:style w:type="paragraph" w:styleId="TOC6">
    <w:name w:val="toc 6"/>
    <w:basedOn w:val="Normal"/>
    <w:next w:val="Normal"/>
    <w:uiPriority w:val="39"/>
    <w:semiHidden/>
    <w:unhideWhenUsed/>
    <w:pPr>
      <w:spacing w:after="100"/>
      <w:ind w:left="1000"/>
    </w:pPr>
  </w:style>
  <w:style w:type="paragraph" w:styleId="TOC7">
    <w:name w:val="toc 7"/>
    <w:basedOn w:val="Normal"/>
    <w:next w:val="Normal"/>
    <w:uiPriority w:val="39"/>
    <w:semiHidden/>
    <w:unhideWhenUsed/>
    <w:pPr>
      <w:spacing w:after="100"/>
      <w:ind w:left="1200"/>
    </w:pPr>
  </w:style>
  <w:style w:type="paragraph" w:styleId="TOC8">
    <w:name w:val="toc 8"/>
    <w:basedOn w:val="Normal"/>
    <w:next w:val="Normal"/>
    <w:uiPriority w:val="39"/>
    <w:semiHidden/>
    <w:unhideWhenUsed/>
    <w:pPr>
      <w:spacing w:after="100"/>
      <w:ind w:left="1400"/>
    </w:pPr>
  </w:style>
  <w:style w:type="paragraph" w:styleId="TOC9">
    <w:name w:val="toc 9"/>
    <w:basedOn w:val="Normal"/>
    <w:next w:val="Normal"/>
    <w:uiPriority w:val="39"/>
    <w:semiHidden/>
    <w:unhideWhenUsed/>
    <w:pPr>
      <w:spacing w:after="100"/>
      <w:ind w:left="1600"/>
    </w:pPr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character" w:styleId="LineNumber">
    <w:name w:val="line number"/>
    <w:basedOn w:val="DefaultParagraphFont"/>
    <w:uiPriority w:val="99"/>
    <w:semiHidden/>
    <w:unhideWhenUsed/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2026-10-29T13:04:29.398Z</dcterms:created>
  <dcterms:modified xsi:type="dcterms:W3CDTF">2026-10-29T13:04:29.401Z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