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JI CHENG (JESSIE)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Marketer working across Retail, Wealth and Institutional products at a crypto and stablecoin business, with a structured, systems-thinking approach and a data-science research background. Builds the systems rather than only the content: customer research programmes, AI and automation workflows that remove manual work, and regulated messaging cleared with Compliance. Multilingual, currently developing a market-entry plan for a new product line in Malaysia.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Blockchain.com,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Growth Marketing Intern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Designed and ran a segmented customer research programme across 3 customer segments, returning 114 completed responses at a 14% response rate, and turned the findings into positioning and campaign priorities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Supported Institutional and Wealth business development with segmented prospect research: a database of 100 iGaming operators for Institutional outreach and an activated list of 80 crypto publishers for Wealth acquisition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Developing the go-to-market plan for the loans product in Malaysia: market and competitor review, brand and tone, paid channel opportunity assessment, and KOL, affiliate and referral partnerships. [ADD: partner count approached, or a launch date — this currently reads as activity rather than progress]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performance reporting after evaluating 4 implementation approaches, cutting ~30 min/day of manual work, and partnered with Marketing, Web3, Data Engineering, AI Engineering and Security to publish it as an internal Streamlit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in-house AI production workflow after evaluating 6 model providers, cutting asset production from ~2 hours to 30 minutes and establishing a capability the team did not previously have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Owned customer-facing content standards across 20 app-store storefronts and reviewed regulated messaging across all retail products with Compliance, covering UK, US and EU jurisdictions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paid acquisition across 5 channels and 26 markets, scaling from 187 to 562 daily installs (~3x) at flat ~$1.50 CPI using 128 structured tests to direct budget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Malaberg,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Performance Marketer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content reviews with Compliance, setting the standard for regulated consumer-finance messaging across every customer-facing channel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30+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funnel and lifecycle analysis in Power BI, Excel and Microsoft Clarity, then rebuilt the pages responsible; daily conversions rose from 10 to 50+ (5x) with +5% funnel progression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Research &amp;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segmentation; customer interviews; competitor and market review; funnel and cohort analysis; experimental test design; Power BI, Excel, Microsoft Clarity, SQL, R, Python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Automation &amp; AI: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reporting pipelines; AI production workflows and prompt engineering; evaluation of 6 model providers; Streamlit. [ADD: n8n — explicitly named in the JD and learnable in a weekend. Build something small with it and this line answers their requirement with work rather than willingness]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Go-to-market: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Market entry planning, brand and tone, positioning and messaging, app-store and customer-facing content, KOL, affiliate and referral partnerships, regulated messaging review with Compliance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Channels: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LinkedIn; international campaign structure across 26 markets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2026-10-28T21:13:14.992Z</dcterms:created>
  <dcterms:modified xsi:type="dcterms:W3CDTF">2026-10-28T21:13:14.992Z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