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sz w:val="32"/>
          <w:szCs w:val="32"/>
        </w:rPr>
        <w:t xml:space="preserve">JESSIE CHAN</w:t>
      </w:r>
    </w:p>
    <w:p>
      <w:pPr>
        <w:spacing w:after="14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London, UK  |  chan.jicheng@gmail.com  |  +44 (0) 7751 544 790  |  linkedin.com/in/ji-cheng-chan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Fintech/crypto marketer owning go-to-market, regulated customer communications and product adoption across retail, wealth and institutional products in 26 markets. I use AI to solve go-to-market problems, and build the automation, reporting, MCP and API integrations and internal bots the team runs on. I work directly with Compliance, Legal, Product and Engineering in a regulated environment, and bring a data-science research background.</w:t>
      </w:r>
    </w:p>
    <w:p>
      <w:pPr>
        <w:pBdr>
          <w:bottom w:val="single" w:color="999999" w:sz="6" w:space="2"/>
        </w:pBdr>
        <w:spacing w:after="80" w:before="12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EXPERIENCE</w:t>
      </w:r>
    </w:p>
    <w:p>
      <w:pPr>
        <w:tabs>
          <w:tab w:val="right" w:pos="10466"/>
        </w:tabs>
        <w:spacing w:after="10" w:before="10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Growth Marketing Intern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May 2026 – Present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Blockchain.com, London, United Kingdom  |  Retail, Wealth and Institutional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Drove adoption of the loans product in Malaysia, converting 4 clients through a go-to-market plan covering competitor review, positioning, brand and tone, and KOL, affiliate and referral partnerships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Supported 5x growth in cumulative perps trading volume, from $100m (July) to $500m (September), with voice-of-customer research surveying active, inactive and churned users to feed product and positioning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Sourced 3 major high net worth clients by building an outreach channel of 80 crypto publishers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Equipped Institutional business development with a 100-operator prospect database, working with B2B Product Marketing on Institutional and Wealth projects, [ADD: result — e.g. X meetings booked or $X pipeline]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Localised CRM communications into [ADD: number] languages with API tools, increasing email open rate by 10%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Launched refreshed Personal and Earn product pages and app-store content across 20 storefronts and 20+ Custom Product Pages in 12 markets, all cleared through Compliance, [ADD: result — e.g. store conversion up X%]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Tested product messaging across 26 countries through 128 structured tests, scaling 5 winning campaign groups and cutting UK acquisition cost by 21.5% while volume rose 30.2%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Automated daily performance reporting with Claude Code and led its launch as a company-wide Streamlit dashboard with Data Engineering and Security, saving the team ~10 hours a month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Built the company's first in-house AI content production workflow, delivering 100+ video assets, cutting production time by 75% and lifting CTR by 188%</w:t>
      </w:r>
    </w:p>
    <w:p>
      <w:pPr>
        <w:tabs>
          <w:tab w:val="right" w:pos="10466"/>
        </w:tabs>
        <w:spacing w:after="10" w:before="10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Performance Marketer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Feb 2025 – Apr 2026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Malaberg, London, United Kingdom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Led weekly Compliance reviews of all customer-facing consumer-finance messaging across channels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Increased daily conversions from 10 to 50+ (5x) by rebuilding landing and promotional pages in Figma and Photoshop, informed by funnel analysis in Power BI and Microsoft Clarity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Built a company-wide automated reporting pipeline on lead conversion, cutting daily report preparation from 30 min to almost immediate output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Managed £50k+ monthly budget with full accountability for efficiency, sustaining 120% ROAS</w:t>
      </w:r>
    </w:p>
    <w:p>
      <w:pPr>
        <w:pBdr>
          <w:bottom w:val="single" w:color="999999" w:sz="6" w:space="2"/>
        </w:pBdr>
        <w:spacing w:after="80" w:before="12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EDUCATION</w:t>
      </w:r>
    </w:p>
    <w:p>
      <w:pPr>
        <w:tabs>
          <w:tab w:val="right" w:pos="10466"/>
        </w:tabs>
        <w:spacing w:after="10" w:before="9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MRes Experimental Psychology with Data Science, University of Manchester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2023 – 2024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High Distinction. Experimental design, causal inference and statistical analysis in R.</w:t>
      </w:r>
    </w:p>
    <w:p>
      <w:pPr>
        <w:tabs>
          <w:tab w:val="right" w:pos="10466"/>
        </w:tabs>
        <w:spacing w:after="10" w:before="9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BSc (Hons) Psychology, University of Exeter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2020 – 2023</w:t>
      </w:r>
    </w:p>
    <w:p>
      <w:pPr>
        <w:pBdr>
          <w:bottom w:val="single" w:color="999999" w:sz="6" w:space="2"/>
        </w:pBdr>
        <w:spacing w:after="80" w:before="12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SKILLS</w:t>
      </w:r>
    </w:p>
    <w:p>
      <w:p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Product marketing: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Go-to-market and launch planning, positioning and messaging, competitive analysis, lifecycle and CRM communications, product page and app-store content, KOL, affiliate and referral partnerships, financial promotions approval (UK FinProm, Adclear); </w:t>
      </w: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Customer insight: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Survey design and segmentation, customer and competitor research (Appfollow), funnel and cohort analysis, structured test design, Power BI, Excel, Microsoft Clarity, R, Python, SQL; </w:t>
      </w: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AI &amp; automation: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Automation workflows (Claude Code, Cursor), MCP and API integrations (Windsor.ai), vibe-coded apps and bots (deployed on fly.io), AI content workflow design, tools: Runway, Jitter, Gemini, ElevenLabs; </w:t>
      </w: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Creative &amp; channels: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Creative briefing and direction, agency and partner management, Figma, Photoshop, Apple Search Ads, Google Ads, Meta, TikTok, LinkedIn; </w:t>
      </w: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Personal interest: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Digital assets, business psychology, languages, martial arts, weightlifting; </w:t>
      </w: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English, Mandarin, Cantonese (native), Malay (fluent)</w:t>
      </w:r>
    </w:p>
    <w:sectPr>
      <w:pgSz w:w="11906" w:h="16838" w:orient="portrait"/>
      <w:pgMar w:top="640" w:right="720" w:bottom="64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16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2026-10-29T12:54:36.150Z</dcterms:created>
  <dcterms:modified xsi:type="dcterms:W3CDTF">2026-10-29T12:54:36.150Z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