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growth marketer with hands-on ownership of paid acquisition across five channels and 26 markets, plus the creative, app-store and reporting systems behind it. I use AI to solve growth problems, most recently building an AI UGC workflow from scratch that cut CPI by 76% and increased acquisition volume by 15%. Experienced in managing retail, wealth and institutional products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 and Cursor,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Reduced CPI on UK campaigns by 21.5% while installs increased 30.2%, and scaled the core US campaign to 3x daily users acquired through CPP and SKAG testing and optimization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Retail, Wealth and Institutional growth customer research and prospecting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managing ads and conversion funnels,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contributing to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UGC production: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End-to-end workflow design (avatar, voice, motion, video) with Runway, Jitter, Gemini, Seedance, Wan, Seeaudio, ElevenLabs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 (fly.io)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ASO and Custom Product Pages, creative testing,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AppsFlyer, Apple Search Ads attribution, conversion tracking setup, funnel and cohort analysis, test and survey design, competitor research (Appfollow), Power BI, Excel, Microsoft Clarity,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Interests: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2026-10-29T17:35:05.072Z</dcterms:created>
  <dcterms:modified xsi:type="dcterms:W3CDTF">2026-10-29T17:35:05.072Z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