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00000"/>
          <w:sz w:val="32"/>
        </w:rPr>
        <w:t>Detecting Illicit Bitcoin Transactions</w:t>
      </w:r>
    </w:p>
    <w:p>
      <w:pPr>
        <w:spacing w:after="140"/>
      </w:pPr>
      <w:r>
        <w:rPr>
          <w:rFonts w:ascii="Arial" w:hAnsi="Arial"/>
          <w:b/>
          <w:color w:val="000000"/>
          <w:sz w:val="18"/>
        </w:rPr>
        <w:t>BT4012 In-class Kaggle Competition, 2026</w:t>
      </w:r>
      <w:r>
        <w:rPr>
          <w:rFonts w:ascii="Arial" w:hAnsi="Arial"/>
          <w:color w:val="000000"/>
          <w:sz w:val="18"/>
        </w:rPr>
        <w:br/>
        <w:t>Student: [Name]    NUS Student Number: [to add]</w:t>
        <w:br/>
        <w:t>GitHub repository: [link to add]</w:t>
      </w:r>
    </w:p>
    <w:p>
      <w:pPr>
        <w:pStyle w:val="Heading1"/>
      </w:pPr>
      <w:r>
        <w:t>1. Introduction</w:t>
      </w:r>
    </w:p>
    <w:p>
      <w:r>
        <w:t>The BT4012 competition asks participants to estimate whether Bitcoin transactions are licit or illicit. Illicit transactions may be linked to money laundering or illegal marketplaces, so detecting them early is relevant to anti-money-laundering screening. The data are graph-structured: each transaction has anonymized attributes and can be connected to other transactions through payment flows. Only a subset of training transactions has a known label, and the test transactions occur in later time steps.</w:t>
      </w:r>
    </w:p>
    <w:p>
      <w:r>
        <w:t>I developed a time-aware ensemble and used forward-in-time validation to guide model selection. The final selected submissions are V24 and V23, the two highest public leaderboard entries. V24 achieved a public ROC-AUC of 0.94893 and V23 achieved 0.94888. V24 is 0.00760 above the first submitted version, V1, whose public AUC was 0.94133. The difference between V24 and V23 is only 0.00005, so it should not be interpreted as a meaningful or guaranteed private-leaderboard improvement.</w:t>
      </w:r>
    </w:p>
    <w:p>
      <w:pPr>
        <w:pStyle w:val="Heading1"/>
      </w:pPr>
      <w:r>
        <w:t>2. Methodology</w:t>
      </w:r>
    </w:p>
    <w:p>
      <w:pPr>
        <w:pStyle w:val="Heading2"/>
      </w:pPr>
      <w:r>
        <w:t>2.1 Data preprocessing and feature engineering</w:t>
      </w:r>
    </w:p>
    <w:p>
      <w:r>
        <w:t>The official archive contains train.csv, test.csv, txs_edgelist.csv, and sample_submission.csv. The training data contain 141,772 transactions across time steps 1-35. Of these, 31,235 have known labels and 110,537 are unlabeled. Among the labeled rows, 27,591 are licit and 3,644 are illicit, so the known-label positive rate is about 11.7%. The test set contains 15,329 transactions from time steps 36-49, and the directed edge list contains 234,355 transaction links.</w:t>
      </w:r>
    </w:p>
    <w:p>
      <w:r>
        <w:t>Unknown-label rows were excluded from supervised fitting. The final LightGBM-based V12 anchor uses the provided feature columns and time_step, excluding feat_100, feat_101, feat_103, feat_136, and feat_139. The two CatBoost experts use eight low-cardinality features as categories: feat_3, feat_7, feat_15, feat_112, feat_113, feat_148, feat_149, and feat_160. These feature values are rounded and converted to strings for CatBoost.</w:t>
      </w:r>
    </w:p>
    <w:p>
      <w:r>
        <w:t>The CatBoost experts are trained on the most recent 14 labeled time steps. No pseudo-labels, external datasets, or class weighting are used in V24. The final graph adjustment uses the supplied directed edge list: it averages the percentile ranks of observed predecessor transactions and applies a 2% correction to the transaction's own percentile rank. If no predecessor is observed, the transaction keeps its own rank. This step uses predictions only and does not use hidden labels.</w:t>
      </w:r>
    </w:p>
    <w:p>
      <w:pPr>
        <w:pStyle w:val="Heading2"/>
      </w:pPr>
      <w:r>
        <w:t>2.2 Model development and validation</w:t>
      </w:r>
    </w:p>
    <w:p>
      <w:r>
        <w:t>The V12 anchor is a LightGBM ensemble designed to reflect the recent data regime. The V24 pre-graph score is a rank blend: 60% V12, 20% from an eight-category CatBoost model with 1,500 trees, and 20% from a matching 2,000-tree CatBoost model. Both CatBoost experts use depth 6, learning rate 0.035, L2 regularization 6, and random seed 4012. The 2% predecessor correction is applied after this blend. Of 15,329 test transactions, 6,083 have at least one observed predecessor in the test graph.</w:t>
      </w:r>
    </w:p>
    <w:p>
      <w:r>
        <w:t>Validation preserved time order: models were fit on earlier time steps and evaluated on later ones. The provided starter pipeline used two forward windows, training through step 21 and validating on steps 22-28, then training through step 28 and validating on steps 29-35. Its validation results are shown below. Later V23/V24 screens used additional, overlapping cutoffs to examine changes in the final ensemble. These later windows were reused during model selection and are not an untouched final test.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31"/>
        <w:gridCol w:w="3331"/>
        <w:gridCol w:w="3331"/>
      </w:tblGrid>
      <w:tr>
        <w:tc>
          <w:tcPr>
            <w:tcW w:type="dxa" w:w="3816"/>
            <w:shd w:fill="E7E6E6"/>
            <w:vAlign w:val="center"/>
            <w:tcMar>
              <w:top w:w="65" w:type="dxa"/>
              <w:start w:w="85" w:type="dxa"/>
              <w:bottom w:w="65" w:type="dxa"/>
              <w:end w:w="85" w:type="dxa"/>
            </w:tcMar>
          </w:tcPr>
          <w:p>
            <w:pPr>
              <w:spacing w:after="0" w:line="240" w:lineRule="auto"/>
            </w:pPr>
            <w:r>
              <w:rPr>
                <w:rFonts w:ascii="Arial" w:hAnsi="Arial"/>
                <w:color w:val="000000"/>
                <w:sz w:val="17"/>
              </w:rPr>
              <w:t>Starter model</w:t>
            </w:r>
          </w:p>
        </w:tc>
        <w:tc>
          <w:tcPr>
            <w:tcW w:type="dxa" w:w="2520"/>
            <w:shd w:fill="E7E6E6"/>
            <w:vAlign w:val="center"/>
            <w:tcMar>
              <w:top w:w="65" w:type="dxa"/>
              <w:start w:w="85" w:type="dxa"/>
              <w:bottom w:w="65" w:type="dxa"/>
              <w:end w:w="85" w:type="dxa"/>
            </w:tcMar>
          </w:tcPr>
          <w:p>
            <w:pPr>
              <w:spacing w:after="0" w:line="240" w:lineRule="auto"/>
            </w:pPr>
            <w:r>
              <w:rPr>
                <w:rFonts w:ascii="Arial" w:hAnsi="Arial"/>
                <w:color w:val="000000"/>
                <w:sz w:val="17"/>
              </w:rPr>
              <w:t>Steps 22-28 AUC</w:t>
            </w:r>
          </w:p>
        </w:tc>
        <w:tc>
          <w:tcPr>
            <w:tcW w:type="dxa" w:w="2520"/>
            <w:shd w:fill="E7E6E6"/>
            <w:vAlign w:val="center"/>
            <w:tcMar>
              <w:top w:w="65" w:type="dxa"/>
              <w:start w:w="85" w:type="dxa"/>
              <w:bottom w:w="65" w:type="dxa"/>
              <w:end w:w="85" w:type="dxa"/>
            </w:tcMar>
          </w:tcPr>
          <w:p>
            <w:pPr>
              <w:spacing w:after="0" w:line="240" w:lineRule="auto"/>
            </w:pPr>
            <w:r>
              <w:rPr>
                <w:rFonts w:ascii="Arial" w:hAnsi="Arial"/>
                <w:color w:val="000000"/>
                <w:sz w:val="17"/>
              </w:rPr>
              <w:t>Steps 29-35 AUC</w:t>
            </w:r>
          </w:p>
        </w:tc>
      </w:tr>
      <w:tr>
        <w:tc>
          <w:tcPr>
            <w:tcW w:type="dxa" w:w="3816"/>
            <w:vAlign w:val="center"/>
            <w:tcMar>
              <w:top w:w="65" w:type="dxa"/>
              <w:start w:w="85" w:type="dxa"/>
              <w:bottom w:w="65" w:type="dxa"/>
              <w:end w:w="85" w:type="dxa"/>
            </w:tcMar>
          </w:tcPr>
          <w:p>
            <w:pPr>
              <w:spacing w:after="0" w:line="240" w:lineRule="auto"/>
            </w:pPr>
            <w:r>
              <w:rPr>
                <w:rFonts w:ascii="Arial" w:hAnsi="Arial"/>
                <w:color w:val="000000"/>
                <w:sz w:val="17"/>
              </w:rPr>
              <w:t>Tabular LightGBM</w:t>
            </w:r>
          </w:p>
        </w:tc>
        <w:tc>
          <w:tcPr>
            <w:tcW w:type="dxa" w:w="2520"/>
            <w:vAlign w:val="center"/>
            <w:tcMar>
              <w:top w:w="65" w:type="dxa"/>
              <w:start w:w="85" w:type="dxa"/>
              <w:bottom w:w="65" w:type="dxa"/>
              <w:end w:w="85" w:type="dxa"/>
            </w:tcMar>
          </w:tcPr>
          <w:p>
            <w:pPr>
              <w:spacing w:after="0" w:line="240" w:lineRule="auto"/>
            </w:pPr>
            <w:r>
              <w:rPr>
                <w:rFonts w:ascii="Arial" w:hAnsi="Arial"/>
                <w:color w:val="000000"/>
                <w:sz w:val="17"/>
              </w:rPr>
              <w:t>0.950828</w:t>
            </w:r>
          </w:p>
        </w:tc>
        <w:tc>
          <w:tcPr>
            <w:tcW w:type="dxa" w:w="2520"/>
            <w:vAlign w:val="center"/>
            <w:tcMar>
              <w:top w:w="65" w:type="dxa"/>
              <w:start w:w="85" w:type="dxa"/>
              <w:bottom w:w="65" w:type="dxa"/>
              <w:end w:w="85" w:type="dxa"/>
            </w:tcMar>
          </w:tcPr>
          <w:p>
            <w:pPr>
              <w:spacing w:after="0" w:line="240" w:lineRule="auto"/>
            </w:pPr>
            <w:r>
              <w:rPr>
                <w:rFonts w:ascii="Arial" w:hAnsi="Arial"/>
                <w:color w:val="000000"/>
                <w:sz w:val="17"/>
              </w:rPr>
              <w:t>0.996295</w:t>
            </w:r>
          </w:p>
        </w:tc>
      </w:tr>
      <w:tr>
        <w:tc>
          <w:tcPr>
            <w:tcW w:type="dxa" w:w="3816"/>
            <w:vAlign w:val="center"/>
            <w:tcMar>
              <w:top w:w="65" w:type="dxa"/>
              <w:start w:w="85" w:type="dxa"/>
              <w:bottom w:w="65" w:type="dxa"/>
              <w:end w:w="85" w:type="dxa"/>
            </w:tcMar>
          </w:tcPr>
          <w:p>
            <w:pPr>
              <w:spacing w:after="0" w:line="240" w:lineRule="auto"/>
            </w:pPr>
            <w:r>
              <w:rPr>
                <w:rFonts w:ascii="Arial" w:hAnsi="Arial"/>
                <w:color w:val="000000"/>
                <w:sz w:val="17"/>
              </w:rPr>
              <w:t>Graph-feature LightGBM</w:t>
            </w:r>
          </w:p>
        </w:tc>
        <w:tc>
          <w:tcPr>
            <w:tcW w:type="dxa" w:w="2520"/>
            <w:vAlign w:val="center"/>
            <w:tcMar>
              <w:top w:w="65" w:type="dxa"/>
              <w:start w:w="85" w:type="dxa"/>
              <w:bottom w:w="65" w:type="dxa"/>
              <w:end w:w="85" w:type="dxa"/>
            </w:tcMar>
          </w:tcPr>
          <w:p>
            <w:pPr>
              <w:spacing w:after="0" w:line="240" w:lineRule="auto"/>
            </w:pPr>
            <w:r>
              <w:rPr>
                <w:rFonts w:ascii="Arial" w:hAnsi="Arial"/>
                <w:color w:val="000000"/>
                <w:sz w:val="17"/>
              </w:rPr>
              <w:t>0.948571</w:t>
            </w:r>
          </w:p>
        </w:tc>
        <w:tc>
          <w:tcPr>
            <w:tcW w:type="dxa" w:w="2520"/>
            <w:vAlign w:val="center"/>
            <w:tcMar>
              <w:top w:w="65" w:type="dxa"/>
              <w:start w:w="85" w:type="dxa"/>
              <w:bottom w:w="65" w:type="dxa"/>
              <w:end w:w="85" w:type="dxa"/>
            </w:tcMar>
          </w:tcPr>
          <w:p>
            <w:pPr>
              <w:spacing w:after="0" w:line="240" w:lineRule="auto"/>
            </w:pPr>
            <w:r>
              <w:rPr>
                <w:rFonts w:ascii="Arial" w:hAnsi="Arial"/>
                <w:color w:val="000000"/>
                <w:sz w:val="17"/>
              </w:rPr>
              <w:t>0.996350</w:t>
            </w:r>
          </w:p>
        </w:tc>
      </w:tr>
      <w:tr>
        <w:tc>
          <w:tcPr>
            <w:tcW w:type="dxa" w:w="3816"/>
            <w:vAlign w:val="center"/>
            <w:tcMar>
              <w:top w:w="65" w:type="dxa"/>
              <w:start w:w="85" w:type="dxa"/>
              <w:bottom w:w="65" w:type="dxa"/>
              <w:end w:w="85" w:type="dxa"/>
            </w:tcMar>
          </w:tcPr>
          <w:p>
            <w:pPr>
              <w:spacing w:after="0" w:line="240" w:lineRule="auto"/>
            </w:pPr>
            <w:r>
              <w:rPr>
                <w:rFonts w:ascii="Arial" w:hAnsi="Arial"/>
                <w:color w:val="000000"/>
                <w:sz w:val="17"/>
              </w:rPr>
              <w:t>Average blend</w:t>
            </w:r>
          </w:p>
        </w:tc>
        <w:tc>
          <w:tcPr>
            <w:tcW w:type="dxa" w:w="2520"/>
            <w:vAlign w:val="center"/>
            <w:tcMar>
              <w:top w:w="65" w:type="dxa"/>
              <w:start w:w="85" w:type="dxa"/>
              <w:bottom w:w="65" w:type="dxa"/>
              <w:end w:w="85" w:type="dxa"/>
            </w:tcMar>
          </w:tcPr>
          <w:p>
            <w:pPr>
              <w:spacing w:after="0" w:line="240" w:lineRule="auto"/>
            </w:pPr>
            <w:r>
              <w:rPr>
                <w:rFonts w:ascii="Arial" w:hAnsi="Arial"/>
                <w:color w:val="000000"/>
                <w:sz w:val="17"/>
              </w:rPr>
              <w:t>0.950978</w:t>
            </w:r>
          </w:p>
        </w:tc>
        <w:tc>
          <w:tcPr>
            <w:tcW w:type="dxa" w:w="2520"/>
            <w:vAlign w:val="center"/>
            <w:tcMar>
              <w:top w:w="65" w:type="dxa"/>
              <w:start w:w="85" w:type="dxa"/>
              <w:bottom w:w="65" w:type="dxa"/>
              <w:end w:w="85" w:type="dxa"/>
            </w:tcMar>
          </w:tcPr>
          <w:p>
            <w:pPr>
              <w:spacing w:after="0" w:line="240" w:lineRule="auto"/>
            </w:pPr>
            <w:r>
              <w:rPr>
                <w:rFonts w:ascii="Arial" w:hAnsi="Arial"/>
                <w:color w:val="000000"/>
                <w:sz w:val="17"/>
              </w:rPr>
              <w:t>0.996526</w:t>
            </w:r>
          </w:p>
        </w:tc>
      </w:tr>
    </w:tbl>
    <w:p>
      <w:pPr>
        <w:spacing w:after="0"/>
      </w:pPr>
    </w:p>
    <w:p>
      <w:pPr>
        <w:pStyle w:val="Heading2"/>
      </w:pPr>
      <w:r>
        <w:t>2.3 Model exploration and final strategy</w:t>
      </w:r>
    </w:p>
    <w:p>
      <w:r>
        <w:t>The project began with a LightGBM approach using tabular features and label-free graph aggregates. V12 improved the public score through a LightGBM recent-regime blend. Subsequent versions tested recent-window CatBoost experts and a small predecessor-prediction correction. The public score rose from 0.94736 for V12 to 0.94845 for V19, 0.94859 for V20, 0.94880 for V21, 0.94885 for V22, 0.94888 for V23, and 0.94893 for V24.</w:t>
      </w:r>
    </w:p>
    <w:p>
      <w:r>
        <w:t>Several alternatives were rejected. Heavy class weighting, extra graph-topology models, pseudo-labeling, feature-domain weighting, and a nonlinear blend did not show sufficiently reliable gains across the chronological screens. In the V23 experiments, direct one-hot category handling and domain weighting also underperformed the selected CatBoost treatment. V24 modestly increased the combined CatBoost share from 35% to 40% while retaining the 2% graph correction.</w:t>
      </w:r>
    </w:p>
    <w:p>
      <w:pPr>
        <w:pStyle w:val="Heading1"/>
      </w:pPr>
      <w:r>
        <w:t>3. Results and discussion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98"/>
        <w:gridCol w:w="2498"/>
        <w:gridCol w:w="2498"/>
        <w:gridCol w:w="2498"/>
      </w:tblGrid>
      <w:tr>
        <w:tc>
          <w:tcPr>
            <w:tcW w:type="dxa" w:w="3168"/>
            <w:shd w:fill="E7E6E6"/>
            <w:vAlign w:val="center"/>
            <w:tcMar>
              <w:top w:w="65" w:type="dxa"/>
              <w:start w:w="85" w:type="dxa"/>
              <w:bottom w:w="65" w:type="dxa"/>
              <w:end w:w="85" w:type="dxa"/>
            </w:tcMar>
          </w:tcPr>
          <w:p>
            <w:pPr>
              <w:spacing w:after="0" w:line="240" w:lineRule="auto"/>
            </w:pPr>
            <w:r>
              <w:rPr>
                <w:rFonts w:ascii="Arial" w:hAnsi="Arial"/>
                <w:color w:val="000000"/>
                <w:sz w:val="16"/>
              </w:rPr>
              <w:t>Submission</w:t>
            </w:r>
          </w:p>
        </w:tc>
        <w:tc>
          <w:tcPr>
            <w:tcW w:type="dxa" w:w="2088"/>
            <w:shd w:fill="E7E6E6"/>
            <w:vAlign w:val="center"/>
            <w:tcMar>
              <w:top w:w="65" w:type="dxa"/>
              <w:start w:w="85" w:type="dxa"/>
              <w:bottom w:w="65" w:type="dxa"/>
              <w:end w:w="85" w:type="dxa"/>
            </w:tcMar>
          </w:tcPr>
          <w:p>
            <w:pPr>
              <w:spacing w:after="0" w:line="240" w:lineRule="auto"/>
            </w:pPr>
            <w:r>
              <w:rPr>
                <w:rFonts w:ascii="Arial" w:hAnsi="Arial"/>
                <w:color w:val="000000"/>
                <w:sz w:val="16"/>
              </w:rPr>
              <w:t>Public ROC-AUC</w:t>
            </w:r>
          </w:p>
        </w:tc>
        <w:tc>
          <w:tcPr>
            <w:tcW w:type="dxa" w:w="2088"/>
            <w:shd w:fill="E7E6E6"/>
            <w:vAlign w:val="center"/>
            <w:tcMar>
              <w:top w:w="65" w:type="dxa"/>
              <w:start w:w="85" w:type="dxa"/>
              <w:bottom w:w="65" w:type="dxa"/>
              <w:end w:w="85" w:type="dxa"/>
            </w:tcMar>
          </w:tcPr>
          <w:p>
            <w:pPr>
              <w:spacing w:after="0" w:line="240" w:lineRule="auto"/>
            </w:pPr>
            <w:r>
              <w:rPr>
                <w:rFonts w:ascii="Arial" w:hAnsi="Arial"/>
                <w:color w:val="000000"/>
                <w:sz w:val="16"/>
              </w:rPr>
              <w:t>Change from V1</w:t>
            </w:r>
          </w:p>
        </w:tc>
        <w:tc>
          <w:tcPr>
            <w:tcW w:type="dxa" w:w="2880"/>
            <w:shd w:fill="E7E6E6"/>
            <w:vAlign w:val="center"/>
            <w:tcMar>
              <w:top w:w="65" w:type="dxa"/>
              <w:start w:w="85" w:type="dxa"/>
              <w:bottom w:w="65" w:type="dxa"/>
              <w:end w:w="85" w:type="dxa"/>
            </w:tcMar>
          </w:tcPr>
          <w:p>
            <w:pPr>
              <w:spacing w:after="0" w:line="240" w:lineRule="auto"/>
            </w:pPr>
            <w:r>
              <w:rPr>
                <w:rFonts w:ascii="Arial" w:hAnsi="Arial"/>
                <w:color w:val="000000"/>
                <w:sz w:val="16"/>
              </w:rPr>
              <w:t>Status</w:t>
            </w:r>
          </w:p>
        </w:tc>
      </w:tr>
      <w:tr>
        <w:tc>
          <w:tcPr>
            <w:tcW w:type="dxa" w:w="3168"/>
            <w:vAlign w:val="center"/>
            <w:tcMar>
              <w:top w:w="65" w:type="dxa"/>
              <w:start w:w="85" w:type="dxa"/>
              <w:bottom w:w="65" w:type="dxa"/>
              <w:end w:w="85" w:type="dxa"/>
            </w:tcMar>
          </w:tcPr>
          <w:p>
            <w:pPr>
              <w:spacing w:after="0" w:line="240" w:lineRule="auto"/>
            </w:pPr>
            <w:r>
              <w:rPr>
                <w:rFonts w:ascii="Arial" w:hAnsi="Arial"/>
                <w:color w:val="000000"/>
                <w:sz w:val="16"/>
              </w:rPr>
              <w:t>V1, initial submission</w:t>
            </w:r>
          </w:p>
        </w:tc>
        <w:tc>
          <w:tcPr>
            <w:tcW w:type="dxa" w:w="2088"/>
            <w:vAlign w:val="center"/>
            <w:tcMar>
              <w:top w:w="65" w:type="dxa"/>
              <w:start w:w="85" w:type="dxa"/>
              <w:bottom w:w="65" w:type="dxa"/>
              <w:end w:w="85" w:type="dxa"/>
            </w:tcMar>
          </w:tcPr>
          <w:p>
            <w:pPr>
              <w:spacing w:after="0" w:line="240" w:lineRule="auto"/>
            </w:pPr>
            <w:r>
              <w:rPr>
                <w:rFonts w:ascii="Arial" w:hAnsi="Arial"/>
                <w:color w:val="000000"/>
                <w:sz w:val="16"/>
              </w:rPr>
              <w:t>0.94133</w:t>
            </w:r>
          </w:p>
        </w:tc>
        <w:tc>
          <w:tcPr>
            <w:tcW w:type="dxa" w:w="2088"/>
            <w:vAlign w:val="center"/>
            <w:tcMar>
              <w:top w:w="65" w:type="dxa"/>
              <w:start w:w="85" w:type="dxa"/>
              <w:bottom w:w="65" w:type="dxa"/>
              <w:end w:w="85" w:type="dxa"/>
            </w:tcMar>
          </w:tcPr>
          <w:p>
            <w:pPr>
              <w:spacing w:after="0" w:line="240" w:lineRule="auto"/>
            </w:pPr>
            <w:r>
              <w:rPr>
                <w:rFonts w:ascii="Arial" w:hAnsi="Arial"/>
                <w:color w:val="000000"/>
                <w:sz w:val="16"/>
              </w:rPr>
              <w:t>-</w:t>
            </w:r>
          </w:p>
        </w:tc>
        <w:tc>
          <w:tcPr>
            <w:tcW w:type="dxa" w:w="2880"/>
            <w:vAlign w:val="center"/>
            <w:tcMar>
              <w:top w:w="65" w:type="dxa"/>
              <w:start w:w="85" w:type="dxa"/>
              <w:bottom w:w="65" w:type="dxa"/>
              <w:end w:w="85" w:type="dxa"/>
            </w:tcMar>
          </w:tcPr>
          <w:p>
            <w:pPr>
              <w:spacing w:after="0" w:line="240" w:lineRule="auto"/>
            </w:pPr>
            <w:r>
              <w:rPr>
                <w:rFonts w:ascii="Arial" w:hAnsi="Arial"/>
                <w:color w:val="000000"/>
                <w:sz w:val="16"/>
              </w:rPr>
              <w:t>Project's initial public benchmark</w:t>
            </w:r>
          </w:p>
        </w:tc>
      </w:tr>
      <w:tr>
        <w:tc>
          <w:tcPr>
            <w:tcW w:type="dxa" w:w="3168"/>
            <w:vAlign w:val="center"/>
            <w:tcMar>
              <w:top w:w="65" w:type="dxa"/>
              <w:start w:w="85" w:type="dxa"/>
              <w:bottom w:w="65" w:type="dxa"/>
              <w:end w:w="85" w:type="dxa"/>
            </w:tcMar>
          </w:tcPr>
          <w:p>
            <w:pPr>
              <w:spacing w:after="0" w:line="240" w:lineRule="auto"/>
            </w:pPr>
            <w:r>
              <w:rPr>
                <w:rFonts w:ascii="Arial" w:hAnsi="Arial"/>
                <w:color w:val="000000"/>
                <w:sz w:val="16"/>
              </w:rPr>
              <w:t>V23</w:t>
            </w:r>
          </w:p>
        </w:tc>
        <w:tc>
          <w:tcPr>
            <w:tcW w:type="dxa" w:w="2088"/>
            <w:vAlign w:val="center"/>
            <w:tcMar>
              <w:top w:w="65" w:type="dxa"/>
              <w:start w:w="85" w:type="dxa"/>
              <w:bottom w:w="65" w:type="dxa"/>
              <w:end w:w="85" w:type="dxa"/>
            </w:tcMar>
          </w:tcPr>
          <w:p>
            <w:pPr>
              <w:spacing w:after="0" w:line="240" w:lineRule="auto"/>
            </w:pPr>
            <w:r>
              <w:rPr>
                <w:rFonts w:ascii="Arial" w:hAnsi="Arial"/>
                <w:color w:val="000000"/>
                <w:sz w:val="16"/>
              </w:rPr>
              <w:t>0.94888</w:t>
            </w:r>
          </w:p>
        </w:tc>
        <w:tc>
          <w:tcPr>
            <w:tcW w:type="dxa" w:w="2088"/>
            <w:vAlign w:val="center"/>
            <w:tcMar>
              <w:top w:w="65" w:type="dxa"/>
              <w:start w:w="85" w:type="dxa"/>
              <w:bottom w:w="65" w:type="dxa"/>
              <w:end w:w="85" w:type="dxa"/>
            </w:tcMar>
          </w:tcPr>
          <w:p>
            <w:pPr>
              <w:spacing w:after="0" w:line="240" w:lineRule="auto"/>
            </w:pPr>
            <w:r>
              <w:rPr>
                <w:rFonts w:ascii="Arial" w:hAnsi="Arial"/>
                <w:color w:val="000000"/>
                <w:sz w:val="16"/>
              </w:rPr>
              <w:t>+0.00755</w:t>
            </w:r>
          </w:p>
        </w:tc>
        <w:tc>
          <w:tcPr>
            <w:tcW w:type="dxa" w:w="2880"/>
            <w:vAlign w:val="center"/>
            <w:tcMar>
              <w:top w:w="65" w:type="dxa"/>
              <w:start w:w="85" w:type="dxa"/>
              <w:bottom w:w="65" w:type="dxa"/>
              <w:end w:w="85" w:type="dxa"/>
            </w:tcMar>
          </w:tcPr>
          <w:p>
            <w:pPr>
              <w:spacing w:after="0" w:line="240" w:lineRule="auto"/>
            </w:pPr>
            <w:r>
              <w:rPr>
                <w:rFonts w:ascii="Arial" w:hAnsi="Arial"/>
                <w:color w:val="000000"/>
                <w:sz w:val="16"/>
              </w:rPr>
              <w:t>Selected</w:t>
            </w:r>
          </w:p>
        </w:tc>
      </w:tr>
      <w:tr>
        <w:tc>
          <w:tcPr>
            <w:tcW w:type="dxa" w:w="3168"/>
            <w:vAlign w:val="center"/>
            <w:tcMar>
              <w:top w:w="65" w:type="dxa"/>
              <w:start w:w="85" w:type="dxa"/>
              <w:bottom w:w="65" w:type="dxa"/>
              <w:end w:w="85" w:type="dxa"/>
            </w:tcMar>
          </w:tcPr>
          <w:p>
            <w:pPr>
              <w:spacing w:after="0" w:line="240" w:lineRule="auto"/>
            </w:pPr>
            <w:r>
              <w:rPr>
                <w:rFonts w:ascii="Arial" w:hAnsi="Arial"/>
                <w:color w:val="000000"/>
                <w:sz w:val="16"/>
              </w:rPr>
              <w:t>V24</w:t>
            </w:r>
          </w:p>
        </w:tc>
        <w:tc>
          <w:tcPr>
            <w:tcW w:type="dxa" w:w="2088"/>
            <w:vAlign w:val="center"/>
            <w:tcMar>
              <w:top w:w="65" w:type="dxa"/>
              <w:start w:w="85" w:type="dxa"/>
              <w:bottom w:w="65" w:type="dxa"/>
              <w:end w:w="85" w:type="dxa"/>
            </w:tcMar>
          </w:tcPr>
          <w:p>
            <w:pPr>
              <w:spacing w:after="0" w:line="240" w:lineRule="auto"/>
            </w:pPr>
            <w:r>
              <w:rPr>
                <w:rFonts w:ascii="Arial" w:hAnsi="Arial"/>
                <w:color w:val="000000"/>
                <w:sz w:val="16"/>
              </w:rPr>
              <w:t>0.94893</w:t>
            </w:r>
          </w:p>
        </w:tc>
        <w:tc>
          <w:tcPr>
            <w:tcW w:type="dxa" w:w="2088"/>
            <w:vAlign w:val="center"/>
            <w:tcMar>
              <w:top w:w="65" w:type="dxa"/>
              <w:start w:w="85" w:type="dxa"/>
              <w:bottom w:w="65" w:type="dxa"/>
              <w:end w:w="85" w:type="dxa"/>
            </w:tcMar>
          </w:tcPr>
          <w:p>
            <w:pPr>
              <w:spacing w:after="0" w:line="240" w:lineRule="auto"/>
            </w:pPr>
            <w:r>
              <w:rPr>
                <w:rFonts w:ascii="Arial" w:hAnsi="Arial"/>
                <w:color w:val="000000"/>
                <w:sz w:val="16"/>
              </w:rPr>
              <w:t>+0.00760</w:t>
            </w:r>
          </w:p>
        </w:tc>
        <w:tc>
          <w:tcPr>
            <w:tcW w:type="dxa" w:w="2880"/>
            <w:vAlign w:val="center"/>
            <w:tcMar>
              <w:top w:w="65" w:type="dxa"/>
              <w:start w:w="85" w:type="dxa"/>
              <w:bottom w:w="65" w:type="dxa"/>
              <w:end w:w="85" w:type="dxa"/>
            </w:tcMar>
          </w:tcPr>
          <w:p>
            <w:pPr>
              <w:spacing w:after="0" w:line="240" w:lineRule="auto"/>
            </w:pPr>
            <w:r>
              <w:rPr>
                <w:rFonts w:ascii="Arial" w:hAnsi="Arial"/>
                <w:color w:val="000000"/>
                <w:sz w:val="16"/>
              </w:rPr>
              <w:t>Selected; highest public score</w:t>
            </w:r>
          </w:p>
        </w:tc>
      </w:tr>
    </w:tbl>
    <w:p>
      <w:pPr>
        <w:spacing w:after="0"/>
      </w:pPr>
    </w:p>
    <w:p>
      <w:r>
        <w:t>The course starter model's validation results and the V23/V24 model-selection windows use different validation designs. They are therefore reported separately rather than presented as a direct head-to-head comparison. The public leaderboard provides a like-for-like competition score for V1, V23, and V24: both selected submissions exceed V1, but the final improvement from V23 to V24 is marginal.</w:t>
      </w:r>
    </w:p>
    <w:p>
      <w:r>
        <w:t>The V24 package compares V24 with V23 across seven historical checks. V24 improved five and declined on two. The largest decline was the cutoff-21 stress window, where AUC fell by 0.001476. Four of five more recent checks improved. With the V24 blend fixed, an additional cutoff-26 check improved pooled AUC by 0.000037 and mean per-step AUC by 0.000049.</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99"/>
        <w:gridCol w:w="1999"/>
        <w:gridCol w:w="1999"/>
        <w:gridCol w:w="1999"/>
        <w:gridCol w:w="1999"/>
      </w:tblGrid>
      <w:tr>
        <w:tc>
          <w:tcPr>
            <w:tcW w:type="dxa" w:w="1656"/>
            <w:shd w:fill="E7E6E6"/>
            <w:vAlign w:val="center"/>
            <w:tcMar>
              <w:top w:w="65" w:type="dxa"/>
              <w:start w:w="85" w:type="dxa"/>
              <w:bottom w:w="65" w:type="dxa"/>
              <w:end w:w="85" w:type="dxa"/>
            </w:tcMar>
          </w:tcPr>
          <w:p>
            <w:pPr>
              <w:spacing w:after="0" w:line="240" w:lineRule="auto"/>
            </w:pPr>
            <w:r>
              <w:rPr>
                <w:rFonts w:ascii="Arial" w:hAnsi="Arial"/>
                <w:color w:val="000000"/>
                <w:sz w:val="15"/>
              </w:rPr>
              <w:t>Train through</w:t>
            </w:r>
          </w:p>
        </w:tc>
        <w:tc>
          <w:tcPr>
            <w:tcW w:type="dxa" w:w="2088"/>
            <w:shd w:fill="E7E6E6"/>
            <w:vAlign w:val="center"/>
            <w:tcMar>
              <w:top w:w="65" w:type="dxa"/>
              <w:start w:w="85" w:type="dxa"/>
              <w:bottom w:w="65" w:type="dxa"/>
              <w:end w:w="85" w:type="dxa"/>
            </w:tcMar>
          </w:tcPr>
          <w:p>
            <w:pPr>
              <w:spacing w:after="0" w:line="240" w:lineRule="auto"/>
            </w:pPr>
            <w:r>
              <w:rPr>
                <w:rFonts w:ascii="Arial" w:hAnsi="Arial"/>
                <w:color w:val="000000"/>
                <w:sz w:val="15"/>
              </w:rPr>
              <w:t>Validation steps</w:t>
            </w:r>
          </w:p>
        </w:tc>
        <w:tc>
          <w:tcPr>
            <w:tcW w:type="dxa" w:w="1872"/>
            <w:shd w:fill="E7E6E6"/>
            <w:vAlign w:val="center"/>
            <w:tcMar>
              <w:top w:w="65" w:type="dxa"/>
              <w:start w:w="85" w:type="dxa"/>
              <w:bottom w:w="65" w:type="dxa"/>
              <w:end w:w="85" w:type="dxa"/>
            </w:tcMar>
          </w:tcPr>
          <w:p>
            <w:pPr>
              <w:spacing w:after="0" w:line="240" w:lineRule="auto"/>
            </w:pPr>
            <w:r>
              <w:rPr>
                <w:rFonts w:ascii="Arial" w:hAnsi="Arial"/>
                <w:color w:val="000000"/>
                <w:sz w:val="15"/>
              </w:rPr>
              <w:t>V23 AUC</w:t>
            </w:r>
          </w:p>
        </w:tc>
        <w:tc>
          <w:tcPr>
            <w:tcW w:type="dxa" w:w="1872"/>
            <w:shd w:fill="E7E6E6"/>
            <w:vAlign w:val="center"/>
            <w:tcMar>
              <w:top w:w="65" w:type="dxa"/>
              <w:start w:w="85" w:type="dxa"/>
              <w:bottom w:w="65" w:type="dxa"/>
              <w:end w:w="85" w:type="dxa"/>
            </w:tcMar>
          </w:tcPr>
          <w:p>
            <w:pPr>
              <w:spacing w:after="0" w:line="240" w:lineRule="auto"/>
            </w:pPr>
            <w:r>
              <w:rPr>
                <w:rFonts w:ascii="Arial" w:hAnsi="Arial"/>
                <w:color w:val="000000"/>
                <w:sz w:val="15"/>
              </w:rPr>
              <w:t>V24 AUC</w:t>
            </w:r>
          </w:p>
        </w:tc>
        <w:tc>
          <w:tcPr>
            <w:tcW w:type="dxa" w:w="1872"/>
            <w:shd w:fill="E7E6E6"/>
            <w:vAlign w:val="center"/>
            <w:tcMar>
              <w:top w:w="65" w:type="dxa"/>
              <w:start w:w="85" w:type="dxa"/>
              <w:bottom w:w="65" w:type="dxa"/>
              <w:end w:w="85" w:type="dxa"/>
            </w:tcMar>
          </w:tcPr>
          <w:p>
            <w:pPr>
              <w:spacing w:after="0" w:line="240" w:lineRule="auto"/>
            </w:pPr>
            <w:r>
              <w:rPr>
                <w:rFonts w:ascii="Arial" w:hAnsi="Arial"/>
                <w:color w:val="000000"/>
                <w:sz w:val="15"/>
              </w:rPr>
              <w:t>Change</w:t>
            </w:r>
          </w:p>
        </w:tc>
      </w:tr>
      <w:tr>
        <w:tc>
          <w:tcPr>
            <w:tcW w:type="dxa" w:w="1656"/>
            <w:vAlign w:val="center"/>
            <w:tcMar>
              <w:top w:w="65" w:type="dxa"/>
              <w:start w:w="85" w:type="dxa"/>
              <w:bottom w:w="65" w:type="dxa"/>
              <w:end w:w="85" w:type="dxa"/>
            </w:tcMar>
          </w:tcPr>
          <w:p>
            <w:pPr>
              <w:spacing w:after="0" w:line="240" w:lineRule="auto"/>
            </w:pPr>
            <w:r>
              <w:rPr>
                <w:rFonts w:ascii="Arial" w:hAnsi="Arial"/>
                <w:color w:val="000000"/>
                <w:sz w:val="15"/>
              </w:rPr>
              <w:t>18</w:t>
            </w:r>
          </w:p>
        </w:tc>
        <w:tc>
          <w:tcPr>
            <w:tcW w:type="dxa" w:w="2088"/>
            <w:vAlign w:val="center"/>
            <w:tcMar>
              <w:top w:w="65" w:type="dxa"/>
              <w:start w:w="85" w:type="dxa"/>
              <w:bottom w:w="65" w:type="dxa"/>
              <w:end w:w="85" w:type="dxa"/>
            </w:tcMar>
          </w:tcPr>
          <w:p>
            <w:pPr>
              <w:spacing w:after="0" w:line="240" w:lineRule="auto"/>
            </w:pPr>
            <w:r>
              <w:rPr>
                <w:rFonts w:ascii="Arial" w:hAnsi="Arial"/>
                <w:color w:val="000000"/>
                <w:sz w:val="15"/>
              </w:rPr>
              <w:t>19-32</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0.875741</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0.875964</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+0.000223</w:t>
            </w:r>
          </w:p>
        </w:tc>
      </w:tr>
      <w:tr>
        <w:tc>
          <w:tcPr>
            <w:tcW w:type="dxa" w:w="1656"/>
            <w:vAlign w:val="center"/>
            <w:tcMar>
              <w:top w:w="65" w:type="dxa"/>
              <w:start w:w="85" w:type="dxa"/>
              <w:bottom w:w="65" w:type="dxa"/>
              <w:end w:w="85" w:type="dxa"/>
            </w:tcMar>
          </w:tcPr>
          <w:p>
            <w:pPr>
              <w:spacing w:after="0" w:line="240" w:lineRule="auto"/>
            </w:pPr>
            <w:r>
              <w:rPr>
                <w:rFonts w:ascii="Arial" w:hAnsi="Arial"/>
                <w:color w:val="000000"/>
                <w:sz w:val="15"/>
              </w:rPr>
              <w:t>21</w:t>
            </w:r>
          </w:p>
        </w:tc>
        <w:tc>
          <w:tcPr>
            <w:tcW w:type="dxa" w:w="2088"/>
            <w:vAlign w:val="center"/>
            <w:tcMar>
              <w:top w:w="65" w:type="dxa"/>
              <w:start w:w="85" w:type="dxa"/>
              <w:bottom w:w="65" w:type="dxa"/>
              <w:end w:w="85" w:type="dxa"/>
            </w:tcMar>
          </w:tcPr>
          <w:p>
            <w:pPr>
              <w:spacing w:after="0" w:line="240" w:lineRule="auto"/>
            </w:pPr>
            <w:r>
              <w:rPr>
                <w:rFonts w:ascii="Arial" w:hAnsi="Arial"/>
                <w:color w:val="000000"/>
                <w:sz w:val="15"/>
              </w:rPr>
              <w:t>22-35</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0.851907</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0.850430</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-0.001476</w:t>
            </w:r>
          </w:p>
        </w:tc>
      </w:tr>
      <w:tr>
        <w:tc>
          <w:tcPr>
            <w:tcW w:type="dxa" w:w="1656"/>
            <w:vAlign w:val="center"/>
            <w:tcMar>
              <w:top w:w="65" w:type="dxa"/>
              <w:start w:w="85" w:type="dxa"/>
              <w:bottom w:w="65" w:type="dxa"/>
              <w:end w:w="85" w:type="dxa"/>
            </w:tcMar>
          </w:tcPr>
          <w:p>
            <w:pPr>
              <w:spacing w:after="0" w:line="240" w:lineRule="auto"/>
            </w:pPr>
            <w:r>
              <w:rPr>
                <w:rFonts w:ascii="Arial" w:hAnsi="Arial"/>
                <w:color w:val="000000"/>
                <w:sz w:val="15"/>
              </w:rPr>
              <w:t>24</w:t>
            </w:r>
          </w:p>
        </w:tc>
        <w:tc>
          <w:tcPr>
            <w:tcW w:type="dxa" w:w="2088"/>
            <w:vAlign w:val="center"/>
            <w:tcMar>
              <w:top w:w="65" w:type="dxa"/>
              <w:start w:w="85" w:type="dxa"/>
              <w:bottom w:w="65" w:type="dxa"/>
              <w:end w:w="85" w:type="dxa"/>
            </w:tcMar>
          </w:tcPr>
          <w:p>
            <w:pPr>
              <w:spacing w:after="0" w:line="240" w:lineRule="auto"/>
            </w:pPr>
            <w:r>
              <w:rPr>
                <w:rFonts w:ascii="Arial" w:hAnsi="Arial"/>
                <w:color w:val="000000"/>
                <w:sz w:val="15"/>
              </w:rPr>
              <w:t>25-35</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0.997610</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0.997598</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-0.000012</w:t>
            </w:r>
          </w:p>
        </w:tc>
      </w:tr>
      <w:tr>
        <w:tc>
          <w:tcPr>
            <w:tcW w:type="dxa" w:w="1656"/>
            <w:vAlign w:val="center"/>
            <w:tcMar>
              <w:top w:w="65" w:type="dxa"/>
              <w:start w:w="85" w:type="dxa"/>
              <w:bottom w:w="65" w:type="dxa"/>
              <w:end w:w="85" w:type="dxa"/>
            </w:tcMar>
          </w:tcPr>
          <w:p>
            <w:pPr>
              <w:spacing w:after="0" w:line="240" w:lineRule="auto"/>
            </w:pPr>
            <w:r>
              <w:rPr>
                <w:rFonts w:ascii="Arial" w:hAnsi="Arial"/>
                <w:color w:val="000000"/>
                <w:sz w:val="15"/>
              </w:rPr>
              <w:t>26</w:t>
            </w:r>
          </w:p>
        </w:tc>
        <w:tc>
          <w:tcPr>
            <w:tcW w:type="dxa" w:w="2088"/>
            <w:vAlign w:val="center"/>
            <w:tcMar>
              <w:top w:w="65" w:type="dxa"/>
              <w:start w:w="85" w:type="dxa"/>
              <w:bottom w:w="65" w:type="dxa"/>
              <w:end w:w="85" w:type="dxa"/>
            </w:tcMar>
          </w:tcPr>
          <w:p>
            <w:pPr>
              <w:spacing w:after="0" w:line="240" w:lineRule="auto"/>
            </w:pPr>
            <w:r>
              <w:rPr>
                <w:rFonts w:ascii="Arial" w:hAnsi="Arial"/>
                <w:color w:val="000000"/>
                <w:sz w:val="15"/>
              </w:rPr>
              <w:t>27-35</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0.998129</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0.998166</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+0.000037</w:t>
            </w:r>
          </w:p>
        </w:tc>
      </w:tr>
      <w:tr>
        <w:tc>
          <w:tcPr>
            <w:tcW w:type="dxa" w:w="1656"/>
            <w:vAlign w:val="center"/>
            <w:tcMar>
              <w:top w:w="65" w:type="dxa"/>
              <w:start w:w="85" w:type="dxa"/>
              <w:bottom w:w="65" w:type="dxa"/>
              <w:end w:w="85" w:type="dxa"/>
            </w:tcMar>
          </w:tcPr>
          <w:p>
            <w:pPr>
              <w:spacing w:after="0" w:line="240" w:lineRule="auto"/>
            </w:pPr>
            <w:r>
              <w:rPr>
                <w:rFonts w:ascii="Arial" w:hAnsi="Arial"/>
                <w:color w:val="000000"/>
                <w:sz w:val="15"/>
              </w:rPr>
              <w:t>28</w:t>
            </w:r>
          </w:p>
        </w:tc>
        <w:tc>
          <w:tcPr>
            <w:tcW w:type="dxa" w:w="2088"/>
            <w:vAlign w:val="center"/>
            <w:tcMar>
              <w:top w:w="65" w:type="dxa"/>
              <w:start w:w="85" w:type="dxa"/>
              <w:bottom w:w="65" w:type="dxa"/>
              <w:end w:w="85" w:type="dxa"/>
            </w:tcMar>
          </w:tcPr>
          <w:p>
            <w:pPr>
              <w:spacing w:after="0" w:line="240" w:lineRule="auto"/>
            </w:pPr>
            <w:r>
              <w:rPr>
                <w:rFonts w:ascii="Arial" w:hAnsi="Arial"/>
                <w:color w:val="000000"/>
                <w:sz w:val="15"/>
              </w:rPr>
              <w:t>29-35</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0.998188</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0.998235</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+0.000047</w:t>
            </w:r>
          </w:p>
        </w:tc>
      </w:tr>
      <w:tr>
        <w:tc>
          <w:tcPr>
            <w:tcW w:type="dxa" w:w="1656"/>
            <w:vAlign w:val="center"/>
            <w:tcMar>
              <w:top w:w="65" w:type="dxa"/>
              <w:start w:w="85" w:type="dxa"/>
              <w:bottom w:w="65" w:type="dxa"/>
              <w:end w:w="85" w:type="dxa"/>
            </w:tcMar>
          </w:tcPr>
          <w:p>
            <w:pPr>
              <w:spacing w:after="0" w:line="240" w:lineRule="auto"/>
            </w:pPr>
            <w:r>
              <w:rPr>
                <w:rFonts w:ascii="Arial" w:hAnsi="Arial"/>
                <w:color w:val="000000"/>
                <w:sz w:val="15"/>
              </w:rPr>
              <w:t>30</w:t>
            </w:r>
          </w:p>
        </w:tc>
        <w:tc>
          <w:tcPr>
            <w:tcW w:type="dxa" w:w="2088"/>
            <w:vAlign w:val="center"/>
            <w:tcMar>
              <w:top w:w="65" w:type="dxa"/>
              <w:start w:w="85" w:type="dxa"/>
              <w:bottom w:w="65" w:type="dxa"/>
              <w:end w:w="85" w:type="dxa"/>
            </w:tcMar>
          </w:tcPr>
          <w:p>
            <w:pPr>
              <w:spacing w:after="0" w:line="240" w:lineRule="auto"/>
            </w:pPr>
            <w:r>
              <w:rPr>
                <w:rFonts w:ascii="Arial" w:hAnsi="Arial"/>
                <w:color w:val="000000"/>
                <w:sz w:val="15"/>
              </w:rPr>
              <w:t>31-35</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0.998573</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0.998614</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+0.000041</w:t>
            </w:r>
          </w:p>
        </w:tc>
      </w:tr>
      <w:tr>
        <w:tc>
          <w:tcPr>
            <w:tcW w:type="dxa" w:w="1656"/>
            <w:vAlign w:val="center"/>
            <w:tcMar>
              <w:top w:w="65" w:type="dxa"/>
              <w:start w:w="85" w:type="dxa"/>
              <w:bottom w:w="65" w:type="dxa"/>
              <w:end w:w="85" w:type="dxa"/>
            </w:tcMar>
          </w:tcPr>
          <w:p>
            <w:pPr>
              <w:spacing w:after="0" w:line="240" w:lineRule="auto"/>
            </w:pPr>
            <w:r>
              <w:rPr>
                <w:rFonts w:ascii="Arial" w:hAnsi="Arial"/>
                <w:color w:val="000000"/>
                <w:sz w:val="15"/>
              </w:rPr>
              <w:t>32</w:t>
            </w:r>
          </w:p>
        </w:tc>
        <w:tc>
          <w:tcPr>
            <w:tcW w:type="dxa" w:w="2088"/>
            <w:vAlign w:val="center"/>
            <w:tcMar>
              <w:top w:w="65" w:type="dxa"/>
              <w:start w:w="85" w:type="dxa"/>
              <w:bottom w:w="65" w:type="dxa"/>
              <w:end w:w="85" w:type="dxa"/>
            </w:tcMar>
          </w:tcPr>
          <w:p>
            <w:pPr>
              <w:spacing w:after="0" w:line="240" w:lineRule="auto"/>
            </w:pPr>
            <w:r>
              <w:rPr>
                <w:rFonts w:ascii="Arial" w:hAnsi="Arial"/>
                <w:color w:val="000000"/>
                <w:sz w:val="15"/>
              </w:rPr>
              <w:t>33-35</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0.997567</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0.997633</w:t>
            </w:r>
          </w:p>
        </w:tc>
        <w:tc>
          <w:tcPr>
            <w:tcW w:type="dxa" w:w="1872"/>
            <w:vAlign w:val="center"/>
            <w:tcMar>
              <w:top w:w="65" w:type="dxa"/>
              <w:start w:w="85" w:type="dxa"/>
              <w:bottom w:w="65" w:type="dxa"/>
              <w:end w:w="85" w:type="dxa"/>
            </w:tcMar>
          </w:tcPr>
          <w:p>
            <w:pPr>
              <w:spacing w:after="0" w:line="240" w:lineRule="auto"/>
            </w:pPr>
            <w:r>
              <w:rPr>
                <w:rFonts w:ascii="Arial" w:hAnsi="Arial"/>
                <w:color w:val="000000"/>
                <w:sz w:val="15"/>
              </w:rPr>
              <w:t>+0.000066</w:t>
            </w:r>
          </w:p>
        </w:tc>
      </w:tr>
    </w:tbl>
    <w:p>
      <w:pPr>
        <w:spacing w:after="0"/>
      </w:pPr>
    </w:p>
    <w:p>
      <w:r>
        <w:t>The historical AUCs vary sharply by cutoff, and some are close to 1.0 while the public score is about 0.949. This gap shows that the validation screens did not fully predict leaderboard performance. Repeated experiments and public leaderboard feedback informed model-family and blend choices, which can make the observed public score optimistic as an estimate of performance on a new sample. The competition's private leaderboard is based on a separate part of the test set and may rank the submissions differently.</w:t>
      </w:r>
    </w:p>
    <w:p>
      <w:r>
        <w:t>The known-label positive rate is about 11.7%, so the labeled sample is imbalanced. ROC-AUC evaluates ranking across thresholds and matches the competition metric; I did not optimize a classification threshold or report accuracy as a primary result. The final V24 recipe does not use class weighting. A heavily weighted CatBoost alternative was tested earlier but did not outperform the unweighted strategy reliably on the leaderboard and chronological checks.</w:t>
      </w:r>
    </w:p>
    <w:p>
      <w:r>
        <w:t>The graph correction is intentionally small because larger corrections were inconsistent. It only changes rankings when a test transaction has an observed predecessor among the scored transactions; about 39.7% of test transactions meet that condition. This makes the graph step a secondary signal rather than the main source of the final score.</w:t>
      </w:r>
    </w:p>
    <w:p>
      <w:pPr>
        <w:pStyle w:val="Heading1"/>
      </w:pPr>
      <w:r>
        <w:t>4. Conclusion and reflection</w:t>
      </w:r>
    </w:p>
    <w:p>
      <w:r>
        <w:t>V24 is the top public-score submission and V23 is the runner-up. The selected V24 ensemble combines the V12 LightGBM anchor with two recent-window categorical CatBoost experts and a small graph correction. Both selected submissions exceed the project's first public submission, V1, but the difference between V24 and V23 is too small to claim a robust improvement.</w:t>
      </w:r>
    </w:p>
    <w:p>
      <w:r>
        <w:t>The project showed me that model selection for time-dependent transaction data needs chronological validation and careful tracking of test-period drift. More complex models and small validation gains did not always translate into comparable public leaderboard gains. I would improve the process by setting aside a final chronological holdout that is not reused during selection, comparing candidate and baseline predictions on identical windows, and limiting repeated leaderboard-guided tuning.</w:t>
      </w:r>
    </w:p>
    <w:p>
      <w:r>
        <w:t>The final project repository will contain the notebook for V24, supporting training modules, requirements.txt, and a README. The notebook must be renamed with my NUS student number, and the GitHub repository link must be added here before submission. The official competition data are not included in the repository; the notebook will document how to attach the Kaggle data files.</w:t>
      </w:r>
    </w:p>
    <w:p>
      <w:pPr>
        <w:pStyle w:val="Heading2"/>
      </w:pPr>
      <w:r>
        <w:t>Materials used</w:t>
      </w:r>
    </w:p>
    <w:p>
      <w:r>
        <w:t>BT4012 Kaggle competition data archive; BT4012 starter package validation_results.csv; V23 and V24 complete model packages, notebooks, READMEs, validation summaries, and Kaggle submission screenshots. Public AUC values in this report are 0.94133 (V1), 0.94888 (V23), and 0.94893 (V24). The private leaderboard result is not yet included.</w:t>
      </w:r>
    </w:p>
    <w:sectPr w:rsidR="00FC693F" w:rsidRPr="0006063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before="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