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4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0"/>
        </w:rPr>
        <w:t>AgentGuard 系统使用说明</w:t>
      </w:r>
    </w:p>
    <w:p>
      <w:pPr>
        <w:jc w:val="center"/>
      </w:pPr>
      <w:r>
        <w:rPr>
          <w:rFonts w:ascii="宋体" w:hAnsi="宋体" w:eastAsia="宋体"/>
          <w:sz w:val="22"/>
        </w:rPr>
        <w:t>版本 1.0</w:t>
      </w:r>
    </w:p>
    <w:p/>
    <w:p>
      <w:pPr>
        <w:pStyle w:val="Heading1"/>
      </w:pPr>
      <w:r>
        <w:t>1. 环境与一键构建</w:t>
      </w:r>
    </w:p>
    <w:p>
      <w:pPr>
        <w:pStyle w:val="ListBullet"/>
      </w:pPr>
      <w:r>
        <w:t>Windows 10/11 或 macOS；Python 3.11/3.12；CPU 即可，建议 8GB 内存。</w:t>
      </w:r>
    </w:p>
    <w:p>
      <w:pPr>
        <w:pStyle w:val="ListBullet"/>
      </w:pPr>
      <w:r>
        <w:t>安装：Windows 执行 setup_env.ps1；macOS 执行 setup_env.sh。</w:t>
      </w:r>
    </w:p>
    <w:p>
      <w:pPr>
        <w:pStyle w:val="ListBullet"/>
      </w:pPr>
      <w:r>
        <w:t>完整复现：Windows 执行 run_all.ps1；macOS 执行 run_all.sh。</w:t>
      </w:r>
    </w:p>
    <w:p>
      <w:pPr>
        <w:pStyle w:val="Heading1"/>
      </w:pPr>
      <w:r>
        <w:t>2. 系统启动与主界面</w:t>
      </w:r>
    </w:p>
    <w:p>
      <w:r>
        <w:t>Windows 执行 run_demo.ps1、macOS 执行 run_demo.sh，浏览器访问 http://127.0.0.1:8080；页面加载模型、指标和告警数据后即可点击“运行演示检测”。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154464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5446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t>图 1  系统启动与主界面</w:t>
      </w:r>
    </w:p>
    <w:p>
      <w:pPr>
        <w:pStyle w:val="Heading1"/>
      </w:pPr>
      <w:r>
        <w:t>3. 日志输入示例</w:t>
      </w:r>
    </w:p>
    <w:p>
      <w:r>
        <w:t>自有日志采用 UTF-8 JSONL。每个实体的事件按 timestamp 排序，适配层再切分为长度 24、步长 8 的行为窗口。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14664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de_input_examp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4664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t>图 2  日志输入示例</w:t>
      </w:r>
    </w:p>
    <w:p>
      <w:r>
        <w:t>命令行分析：python scripts/analyze.py input.jsonl。输入仅限已授权且已脱敏的数据，不要写入 API Key、Token、Cookie 或个人身份信息。</w:t>
      </w:r>
    </w:p>
    <w:p>
      <w:pPr>
        <w:pStyle w:val="Heading1"/>
      </w:pPr>
      <w:r>
        <w:t>4. 告警结果页面</w:t>
      </w:r>
    </w:p>
    <w:p>
      <w:r>
        <w:t>告警同时保留实体、严重等级、风险分、解释和关键事件，可从 artifacts/evaluation/alerts.jsonl 回查原始证据。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242607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de_alert_resul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4260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t>图 3  告警结果页面</w:t>
      </w:r>
    </w:p>
    <w:p>
      <w:pPr>
        <w:pStyle w:val="Heading1"/>
      </w:pPr>
      <w:r>
        <w:t>5. 上传日志演示</w:t>
      </w:r>
    </w:p>
    <w:p>
      <w:r>
        <w:t>页面支持直接上传 .log、.jsonl 或 .txt 文件。当前可自动识别 AgentGuard JSONL、Loghub BGL 原始日志和 Loghub HDFS 原始日志。上传状态条会显示当前文件名、解析器、事件数、告警数和失败原因；上传完一个日志后可点击“更换日志”继续选择其它文件。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164007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load_log_feedbac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6400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t>图 4  上传日志后的状态反馈与更换日志入口</w:t>
      </w:r>
    </w:p>
    <w:p>
      <w:pPr>
        <w:pStyle w:val="ListBullet"/>
      </w:pPr>
      <w:r>
        <w:t>data/upload_logs/01_public_bgl_anomaly.log：公开 BGL 系统异常日志，适合证明不是写死样例。</w:t>
      </w:r>
    </w:p>
    <w:p>
      <w:pPr>
        <w:pStyle w:val="ListBullet"/>
      </w:pPr>
      <w:r>
        <w:t>data/upload_logs/02_controlled_security_chain.log：可控异常行为链，适合展示查看链路。</w:t>
      </w:r>
    </w:p>
    <w:p>
      <w:pPr>
        <w:pStyle w:val="ListBullet"/>
      </w:pPr>
      <w:r>
        <w:t>data/upload_logs/03_local_normal_snapshot.log：本机正常行为快照，适合展示正常情况。</w:t>
      </w:r>
    </w:p>
    <w:p>
      <w:pPr>
        <w:pStyle w:val="ListBullet"/>
      </w:pPr>
      <w:r>
        <w:t>data/upload_logs/04_demo_mixed_dataset.log：混合测试日志，适合展示批量检测。</w:t>
      </w:r>
    </w:p>
    <w:p>
      <w:pPr>
        <w:pStyle w:val="Heading1"/>
      </w:pPr>
      <w:r>
        <w:t>6. 模型分、规则分与证据链</w:t>
      </w:r>
    </w:p>
    <w:p>
      <w:r>
        <w:t>模型分反映行为序列偏离，规则分反映透明的高风险顺序命中，混合分用于最终决策。97% 检出率属于混合系统，不是 Transformer 单模型成绩。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193757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de_score_eviden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9375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t>图 5  模型分、规则分与证据链</w:t>
      </w:r>
    </w:p>
    <w:p>
      <w:pPr>
        <w:pStyle w:val="Heading1"/>
      </w:pPr>
      <w:r>
        <w:t>7. 自有数据训练与故障处理</w:t>
      </w:r>
    </w:p>
    <w:p>
      <w:pPr>
        <w:pStyle w:val="ListBullet"/>
      </w:pPr>
      <w:r>
        <w:t>把授权且脱敏的 train/validation/test.jsonl 放入 data/local，再运行 train.py 与 evaluate.py。</w:t>
      </w:r>
    </w:p>
    <w:p>
      <w:pPr>
        <w:pStyle w:val="ListBullet"/>
      </w:pPr>
      <w:r>
        <w:t>端口占用：使用 serve.py --port 8081。</w:t>
      </w:r>
    </w:p>
    <w:p>
      <w:pPr>
        <w:pStyle w:val="ListBullet"/>
      </w:pPr>
      <w:r>
        <w:t>模型缺失：先运行 generate_demo_data.py、train.py。</w:t>
      </w:r>
    </w:p>
    <w:p>
      <w:pPr>
        <w:pStyle w:val="ListBullet"/>
      </w:pPr>
      <w:r>
        <w:t>字段错误：检查 timestamp、entity_id、event_type、action。</w:t>
      </w:r>
    </w:p>
    <w:p>
      <w:pPr>
        <w:pStyle w:val="ListBullet"/>
      </w:pPr>
      <w:r>
        <w:t>现场断网不影响核心功能。</w:t>
      </w:r>
    </w:p>
    <w:p>
      <w:pPr>
        <w:pStyle w:val="Heading1"/>
      </w:pPr>
      <w:r>
        <w:t>8. 部署安全边界</w:t>
      </w:r>
    </w:p>
    <w:p>
      <w:r>
        <w:t>服务默认仅监听本机。真实部署前应增加认证、TLS、上传限制、日志脱敏、访问审计与模型漂移监测；当前自建基准结果不能直接外推到生产环境。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361" w:bottom="136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sz w:val="18"/>
      </w:rPr>
      <w:t xml:space="preserve">第 </w:t>
    </w:r>
    <w:fldSimple w:instr="PAGE"/>
    <w:r>
      <w:rPr>
        <w:rFonts w:ascii="宋体" w:hAnsi="宋体" w:eastAsia="宋体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sz w:val="18"/>
      </w:rPr>
      <w:t>2026第二届大学生人工智能安全竞赛 · 作品报告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42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AgentGuard系统使用说明</dc:title>
  <dc:subject>2026第二届大学生人工智能安全竞赛自主命题赛道作品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