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4EAFD">
      <w:pPr>
        <w:rPr>
          <w:rFonts w:ascii="黑体" w:hAnsi="宋体" w:eastAsia="黑体"/>
          <w:sz w:val="32"/>
          <w:szCs w:val="32"/>
        </w:rPr>
      </w:pPr>
    </w:p>
    <w:p w14:paraId="2C04EAFE">
      <w:pPr>
        <w:rPr>
          <w:rFonts w:ascii="黑体" w:hAnsi="宋体" w:eastAsia="黑体"/>
          <w:sz w:val="32"/>
          <w:szCs w:val="32"/>
        </w:rPr>
      </w:pPr>
    </w:p>
    <w:p w14:paraId="2C04EAFF">
      <w:pPr>
        <w:rPr>
          <w:rFonts w:ascii="黑体" w:hAnsi="宋体" w:eastAsia="黑体"/>
          <w:sz w:val="32"/>
          <w:szCs w:val="32"/>
        </w:rPr>
      </w:pPr>
    </w:p>
    <w:p w14:paraId="2C04EB00">
      <w:pPr>
        <w:jc w:val="center"/>
        <w:rPr>
          <w:rFonts w:ascii="黑体" w:hAnsi="宋体" w:eastAsia="黑体"/>
          <w:b/>
          <w:sz w:val="44"/>
          <w:szCs w:val="52"/>
        </w:rPr>
      </w:pPr>
      <w:r>
        <w:rPr>
          <w:rFonts w:eastAsia="黑体"/>
          <w:b/>
          <w:sz w:val="44"/>
          <w:szCs w:val="52"/>
        </w:rPr>
        <w:t>202</w:t>
      </w:r>
      <w:r>
        <w:rPr>
          <w:rFonts w:hint="eastAsia" w:eastAsia="黑体"/>
          <w:b/>
          <w:sz w:val="44"/>
          <w:szCs w:val="52"/>
          <w:lang w:eastAsia="zh-CN"/>
        </w:rPr>
        <w:t>6</w:t>
      </w:r>
      <w:r>
        <w:rPr>
          <w:rFonts w:hint="eastAsia" w:ascii="黑体" w:hAnsi="宋体" w:eastAsia="黑体"/>
          <w:b/>
          <w:sz w:val="44"/>
          <w:szCs w:val="52"/>
        </w:rPr>
        <w:t>第</w:t>
      </w:r>
      <w:r>
        <w:rPr>
          <w:rFonts w:hint="eastAsia" w:ascii="黑体" w:hAnsi="宋体" w:eastAsia="黑体"/>
          <w:b/>
          <w:sz w:val="44"/>
          <w:szCs w:val="52"/>
          <w:lang w:eastAsia="zh-CN"/>
        </w:rPr>
        <w:t>二届</w:t>
      </w:r>
      <w:r>
        <w:rPr>
          <w:rFonts w:hint="eastAsia" w:ascii="黑体" w:hAnsi="宋体" w:eastAsia="黑体"/>
          <w:b/>
          <w:sz w:val="44"/>
          <w:szCs w:val="52"/>
        </w:rPr>
        <w:t>大学生人工智能安全竞赛</w:t>
      </w:r>
    </w:p>
    <w:p w14:paraId="2C04EB01">
      <w:pPr>
        <w:jc w:val="center"/>
        <w:rPr>
          <w:rFonts w:ascii="黑体" w:hAnsi="宋体" w:eastAsia="黑体"/>
          <w:b/>
          <w:sz w:val="44"/>
          <w:szCs w:val="52"/>
        </w:rPr>
      </w:pPr>
      <w:r>
        <w:rPr>
          <w:rFonts w:hint="eastAsia" w:ascii="黑体" w:hAnsi="宋体" w:eastAsia="黑体"/>
          <w:b/>
          <w:sz w:val="44"/>
          <w:szCs w:val="52"/>
        </w:rPr>
        <w:t>作品报告</w:t>
      </w:r>
    </w:p>
    <w:p w14:paraId="2C04EB02">
      <w:pPr>
        <w:spacing w:line="360" w:lineRule="auto"/>
        <w:rPr>
          <w:rFonts w:ascii="宋体" w:hAnsi="宋体"/>
          <w:sz w:val="24"/>
        </w:rPr>
      </w:pPr>
    </w:p>
    <w:p w14:paraId="2C04EB03">
      <w:pPr>
        <w:spacing w:line="360" w:lineRule="auto"/>
        <w:rPr>
          <w:rFonts w:ascii="宋体" w:hAnsi="宋体"/>
          <w:sz w:val="24"/>
        </w:rPr>
      </w:pPr>
    </w:p>
    <w:p w14:paraId="2C04EB04">
      <w:pPr>
        <w:spacing w:line="360" w:lineRule="auto"/>
        <w:rPr>
          <w:rFonts w:ascii="宋体" w:hAnsi="宋体"/>
          <w:sz w:val="24"/>
        </w:rPr>
      </w:pPr>
    </w:p>
    <w:p w14:paraId="2C04EB05">
      <w:pPr>
        <w:spacing w:line="360" w:lineRule="auto"/>
        <w:rPr>
          <w:rFonts w:ascii="宋体" w:hAnsi="宋体"/>
          <w:sz w:val="24"/>
        </w:rPr>
      </w:pPr>
    </w:p>
    <w:p w14:paraId="2C04EB06">
      <w:pPr>
        <w:spacing w:line="360" w:lineRule="auto"/>
        <w:rPr>
          <w:rFonts w:ascii="宋体" w:hAnsi="宋体"/>
          <w:sz w:val="24"/>
        </w:rPr>
      </w:pPr>
    </w:p>
    <w:p w14:paraId="2C04EB07">
      <w:pPr>
        <w:spacing w:line="360" w:lineRule="auto"/>
        <w:rPr>
          <w:rFonts w:ascii="宋体" w:hAnsi="宋体"/>
          <w:sz w:val="24"/>
        </w:rPr>
      </w:pPr>
    </w:p>
    <w:p w14:paraId="2C04EB08">
      <w:pPr>
        <w:spacing w:line="360" w:lineRule="auto"/>
        <w:rPr>
          <w:rFonts w:ascii="宋体" w:hAnsi="宋体"/>
          <w:sz w:val="24"/>
        </w:rPr>
      </w:pPr>
    </w:p>
    <w:p w14:paraId="2C04EB09">
      <w:pPr>
        <w:spacing w:line="360" w:lineRule="auto"/>
        <w:rPr>
          <w:rFonts w:hint="eastAsia" w:ascii="黑体" w:hAnsi="宋体" w:eastAsia="黑体"/>
          <w:b/>
          <w:sz w:val="32"/>
          <w:szCs w:val="32"/>
          <w:u w:val="single"/>
        </w:rPr>
      </w:pPr>
      <w:r>
        <w:rPr>
          <w:rFonts w:ascii="黑体" w:hAnsi="黑体" w:eastAsia="黑体"/>
          <w:b/>
          <w:sz w:val="32"/>
        </w:rPr>
        <w:t>作品名称：AgentGuard：基于行为序列建模的 AI Agent 异常检测系统</w:t>
      </w:r>
    </w:p>
    <w:p w14:paraId="6F4F9D80">
      <w:pPr>
        <w:spacing w:line="360" w:lineRule="auto"/>
        <w:rPr>
          <w:rFonts w:hint="default" w:ascii="黑体" w:hAnsi="宋体" w:eastAsia="黑体"/>
          <w:b/>
          <w:sz w:val="32"/>
          <w:szCs w:val="32"/>
          <w:u w:val="single"/>
          <w:lang w:val="en-US" w:eastAsia="zh-CN"/>
        </w:rPr>
      </w:pPr>
      <w:r>
        <w:rPr>
          <w:rFonts w:ascii="黑体" w:hAnsi="黑体" w:eastAsia="黑体"/>
          <w:b/>
          <w:sz w:val="32"/>
        </w:rPr>
        <w:t>作品类型：开放式自由命题</w:t>
      </w:r>
    </w:p>
    <w:p w14:paraId="2C04EB0A">
      <w:pPr>
        <w:spacing w:line="360" w:lineRule="auto"/>
        <w:rPr>
          <w:rFonts w:ascii="黑体" w:hAnsi="宋体" w:eastAsia="黑体"/>
          <w:b/>
          <w:sz w:val="32"/>
          <w:szCs w:val="32"/>
        </w:rPr>
      </w:pPr>
      <w:r>
        <w:rPr>
          <w:rFonts w:ascii="黑体" w:hAnsi="黑体" w:eastAsia="黑体"/>
          <w:b/>
          <w:sz w:val="32"/>
        </w:rPr>
        <w:t>电子邮箱：【提交前填写】</w:t>
      </w:r>
    </w:p>
    <w:p w14:paraId="2C04EB0B">
      <w:pPr>
        <w:spacing w:line="360" w:lineRule="auto"/>
        <w:rPr>
          <w:rFonts w:ascii="宋体" w:hAnsi="宋体"/>
          <w:b/>
          <w:sz w:val="24"/>
        </w:rPr>
      </w:pPr>
      <w:r>
        <w:rPr>
          <w:rFonts w:ascii="黑体" w:hAnsi="黑体" w:eastAsia="黑体"/>
          <w:b/>
          <w:sz w:val="32"/>
        </w:rPr>
        <w:t>提交日期：2026 年【  】月【  】日</w:t>
      </w:r>
    </w:p>
    <w:p w14:paraId="0B82C6EC">
      <w:pPr>
        <w:autoSpaceDE w:val="0"/>
        <w:autoSpaceDN w:val="0"/>
        <w:adjustRightInd w:val="0"/>
        <w:spacing w:line="360" w:lineRule="auto"/>
        <w:rPr>
          <w:rFonts w:ascii="宋体" w:hAnsi="宋体" w:cs="DFKai-SB"/>
          <w:b/>
          <w:bCs/>
          <w:sz w:val="24"/>
        </w:rPr>
        <w:sectPr>
          <w:footerReference r:id="rId3" w:type="even"/>
          <w:footerReference w:type="default" r:id="rId10"/>
          <w:pgSz w:w="11906" w:h="16838"/>
          <w:pgMar w:top="1440" w:right="1466" w:bottom="1440" w:left="1620" w:header="851" w:footer="992" w:gutter="0"/>
          <w:pgNumType w:fmt="decimalEnclosedCircle"/>
          <w:cols w:space="425" w:num="1"/>
          <w:docGrid w:type="lines" w:linePitch="312" w:charSpace="0"/>
        </w:sectPr>
      </w:pPr>
    </w:p>
    <w:p w14:paraId="2C04EB18">
      <w:pPr>
        <w:autoSpaceDE w:val="0"/>
        <w:autoSpaceDN w:val="0"/>
        <w:adjustRightInd w:val="0"/>
        <w:spacing w:line="360" w:lineRule="auto"/>
        <w:jc w:val="center"/>
        <w:rPr>
          <w:rFonts w:ascii="黑体" w:hAnsi="宋体" w:eastAsia="黑体" w:cs="DFKai-SB"/>
          <w:b/>
          <w:bCs/>
          <w:sz w:val="32"/>
          <w:szCs w:val="32"/>
        </w:rPr>
      </w:pPr>
      <w:r>
        <w:rPr>
          <w:rFonts w:hint="eastAsia" w:ascii="黑体" w:hAnsi="宋体" w:eastAsia="黑体" w:cs="DFKai-SB"/>
          <w:b/>
          <w:bCs/>
          <w:sz w:val="32"/>
          <w:szCs w:val="32"/>
        </w:rPr>
        <w:t>目     录</w:t>
      </w:r>
    </w:p>
    <w:p w14:paraId="2C04EB19">
      <w:pPr>
        <w:pStyle w:val="5"/>
        <w:tabs>
          <w:tab w:val="right" w:leader="dot" w:pos="8810"/>
        </w:tabs>
        <w:rPr>
          <w:rFonts w:ascii="等线" w:hAnsi="等线" w:eastAsia="等线"/>
          <w:sz w:val="21"/>
          <w:szCs w:val="22"/>
        </w:rPr>
      </w:pPr>
      <w:r>
        <w:rPr>
          <w:rFonts w:ascii="宋体" w:hAnsi="宋体"/>
          <w:bCs/>
          <w:sz w:val="32"/>
          <w:szCs w:val="21"/>
        </w:rPr>
        <w:fldChar w:fldCharType="begin"/>
      </w:r>
      <w:r>
        <w:rPr>
          <w:rFonts w:ascii="宋体" w:hAnsi="宋体"/>
          <w:bCs/>
          <w:sz w:val="32"/>
          <w:szCs w:val="21"/>
        </w:rPr>
        <w:instrText xml:space="preserve"> TOC \o "1-3" \h \z \u </w:instrText>
      </w:r>
      <w:r>
        <w:rPr>
          <w:rFonts w:ascii="宋体" w:hAnsi="宋体"/>
          <w:bCs/>
          <w:sz w:val="32"/>
          <w:szCs w:val="21"/>
        </w:rPr>
        <w:fldChar w:fldCharType="separate"/>
      </w:r>
      <w:r>
        <w:fldChar w:fldCharType="begin"/>
      </w:r>
      <w:r>
        <w:instrText xml:space="preserve"> HYPERLINK \l "_Toc33965493" </w:instrText>
      </w:r>
      <w:r>
        <w:fldChar w:fldCharType="separate"/>
      </w:r>
      <w:r>
        <w:rPr>
          <w:rStyle w:val="9"/>
          <w:rFonts w:ascii="黑体" w:eastAsia="黑体"/>
        </w:rPr>
        <w:t>摘要</w:t>
      </w:r>
      <w:r>
        <w:tab/>
      </w:r>
      <w:r>
        <w:fldChar w:fldCharType="begin"/>
      </w:r>
      <w:r>
        <w:instrText xml:space="preserve"> PAGEREF _Toc33965493 \h </w:instrText>
      </w:r>
      <w:r>
        <w:fldChar w:fldCharType="separate"/>
      </w:r>
      <w:r>
        <w:t>1</w:t>
      </w:r>
      <w:r>
        <w:fldChar w:fldCharType="end"/>
      </w:r>
      <w:r>
        <w:fldChar w:fldCharType="end"/>
      </w:r>
    </w:p>
    <w:p w14:paraId="2C04EB1A">
      <w:pPr>
        <w:pStyle w:val="5"/>
        <w:tabs>
          <w:tab w:val="right" w:leader="dot" w:pos="8810"/>
        </w:tabs>
        <w:rPr>
          <w:rFonts w:ascii="等线" w:hAnsi="等线" w:eastAsia="等线"/>
          <w:sz w:val="21"/>
          <w:szCs w:val="22"/>
        </w:rPr>
      </w:pPr>
      <w:r>
        <w:fldChar w:fldCharType="begin"/>
      </w:r>
      <w:r>
        <w:instrText xml:space="preserve"> HYPERLINK \l "_Toc33965494" </w:instrText>
      </w:r>
      <w:r>
        <w:fldChar w:fldCharType="separate"/>
      </w:r>
      <w:r>
        <w:rPr>
          <w:rStyle w:val="9"/>
          <w:rFonts w:ascii="黑体" w:eastAsia="黑体"/>
        </w:rPr>
        <w:t>第一章 作品概述</w:t>
      </w:r>
      <w:r>
        <w:tab/>
      </w:r>
      <w:r>
        <w:fldChar w:fldCharType="begin"/>
      </w:r>
      <w:r>
        <w:instrText xml:space="preserve"> PAGEREF _Toc33965494 \h </w:instrText>
      </w:r>
      <w:r>
        <w:fldChar w:fldCharType="separate"/>
      </w:r>
      <w:r>
        <w:t>2</w:t>
      </w:r>
      <w:r>
        <w:fldChar w:fldCharType="end"/>
      </w:r>
      <w:r>
        <w:fldChar w:fldCharType="end"/>
      </w:r>
    </w:p>
    <w:p w14:paraId="2C04EB1B">
      <w:pPr>
        <w:pStyle w:val="5"/>
        <w:tabs>
          <w:tab w:val="right" w:leader="dot" w:pos="8810"/>
        </w:tabs>
        <w:rPr>
          <w:rFonts w:ascii="等线" w:hAnsi="等线" w:eastAsia="等线"/>
          <w:sz w:val="21"/>
          <w:szCs w:val="22"/>
        </w:rPr>
      </w:pPr>
      <w:r>
        <w:fldChar w:fldCharType="begin"/>
      </w:r>
      <w:r>
        <w:instrText xml:space="preserve"> HYPERLINK \l "_Toc33965495" </w:instrText>
      </w:r>
      <w:r>
        <w:fldChar w:fldCharType="separate"/>
      </w:r>
      <w:r>
        <w:rPr>
          <w:rStyle w:val="9"/>
          <w:rFonts w:ascii="黑体" w:eastAsia="黑体"/>
        </w:rPr>
        <w:t>第二章 作品设计与实现</w:t>
      </w:r>
      <w:r>
        <w:tab/>
      </w:r>
      <w:r>
        <w:fldChar w:fldCharType="begin"/>
      </w:r>
      <w:r>
        <w:instrText xml:space="preserve"> PAGEREF _Toc33965495 \h </w:instrText>
      </w:r>
      <w:r>
        <w:fldChar w:fldCharType="separate"/>
      </w:r>
      <w:r>
        <w:t>3</w:t>
      </w:r>
      <w:r>
        <w:fldChar w:fldCharType="end"/>
      </w:r>
      <w:r>
        <w:fldChar w:fldCharType="end"/>
      </w:r>
    </w:p>
    <w:p w14:paraId="2C04EB1C">
      <w:pPr>
        <w:pStyle w:val="5"/>
        <w:tabs>
          <w:tab w:val="right" w:leader="dot" w:pos="8810"/>
        </w:tabs>
        <w:rPr>
          <w:rFonts w:ascii="等线" w:hAnsi="等线" w:eastAsia="等线"/>
          <w:sz w:val="21"/>
          <w:szCs w:val="22"/>
        </w:rPr>
      </w:pPr>
      <w:r>
        <w:fldChar w:fldCharType="begin"/>
      </w:r>
      <w:r>
        <w:instrText xml:space="preserve"> HYPERLINK \l "_Toc33965496" </w:instrText>
      </w:r>
      <w:r>
        <w:fldChar w:fldCharType="separate"/>
      </w:r>
      <w:r>
        <w:rPr>
          <w:rStyle w:val="9"/>
          <w:rFonts w:ascii="黑体" w:eastAsia="黑体"/>
        </w:rPr>
        <w:t>第三章 作品测试与分析</w:t>
      </w:r>
      <w:r>
        <w:tab/>
      </w:r>
      <w:r>
        <w:fldChar w:fldCharType="begin"/>
      </w:r>
      <w:r>
        <w:instrText xml:space="preserve"> PAGEREF _Toc33965496 \h </w:instrText>
      </w:r>
      <w:r>
        <w:fldChar w:fldCharType="separate"/>
      </w:r>
      <w:r>
        <w:t>4</w:t>
      </w:r>
      <w:r>
        <w:fldChar w:fldCharType="end"/>
      </w:r>
      <w:r>
        <w:fldChar w:fldCharType="end"/>
      </w:r>
    </w:p>
    <w:p w14:paraId="2C04EB1D">
      <w:pPr>
        <w:pStyle w:val="5"/>
        <w:tabs>
          <w:tab w:val="right" w:leader="dot" w:pos="8810"/>
        </w:tabs>
        <w:rPr>
          <w:rFonts w:ascii="等线" w:hAnsi="等线" w:eastAsia="等线"/>
          <w:sz w:val="21"/>
          <w:szCs w:val="22"/>
        </w:rPr>
      </w:pPr>
      <w:r>
        <w:fldChar w:fldCharType="begin"/>
      </w:r>
      <w:r>
        <w:instrText xml:space="preserve"> HYPERLINK \l "_Toc33965497" </w:instrText>
      </w:r>
      <w:r>
        <w:fldChar w:fldCharType="separate"/>
      </w:r>
      <w:r>
        <w:rPr>
          <w:rStyle w:val="9"/>
          <w:rFonts w:ascii="黑体" w:eastAsia="黑体"/>
        </w:rPr>
        <w:t>第四章 创新性说明</w:t>
      </w:r>
      <w:r>
        <w:tab/>
      </w:r>
      <w:r>
        <w:fldChar w:fldCharType="begin"/>
      </w:r>
      <w:r>
        <w:instrText xml:space="preserve"> PAGEREF _Toc33965497 \h </w:instrText>
      </w:r>
      <w:r>
        <w:fldChar w:fldCharType="separate"/>
      </w:r>
      <w:r>
        <w:t>5</w:t>
      </w:r>
      <w:r>
        <w:fldChar w:fldCharType="end"/>
      </w:r>
      <w:r>
        <w:fldChar w:fldCharType="end"/>
      </w:r>
    </w:p>
    <w:p w14:paraId="2C04EB1E">
      <w:pPr>
        <w:pStyle w:val="5"/>
        <w:tabs>
          <w:tab w:val="right" w:leader="dot" w:pos="8810"/>
        </w:tabs>
        <w:rPr>
          <w:rFonts w:ascii="等线" w:hAnsi="等线" w:eastAsia="等线"/>
          <w:sz w:val="21"/>
          <w:szCs w:val="22"/>
        </w:rPr>
      </w:pPr>
      <w:r>
        <w:fldChar w:fldCharType="begin"/>
      </w:r>
      <w:r>
        <w:instrText xml:space="preserve"> HYPERLINK \l "_Toc33965498" </w:instrText>
      </w:r>
      <w:r>
        <w:fldChar w:fldCharType="separate"/>
      </w:r>
      <w:r>
        <w:rPr>
          <w:rStyle w:val="9"/>
          <w:rFonts w:ascii="黑体" w:eastAsia="黑体"/>
        </w:rPr>
        <w:t>第五章 总结</w:t>
      </w:r>
      <w:r>
        <w:tab/>
      </w:r>
      <w:r>
        <w:fldChar w:fldCharType="begin"/>
      </w:r>
      <w:r>
        <w:instrText xml:space="preserve"> PAGEREF _Toc33965498 \h </w:instrText>
      </w:r>
      <w:r>
        <w:fldChar w:fldCharType="separate"/>
      </w:r>
      <w:r>
        <w:t>6</w:t>
      </w:r>
      <w:r>
        <w:fldChar w:fldCharType="end"/>
      </w:r>
      <w:r>
        <w:fldChar w:fldCharType="end"/>
      </w:r>
    </w:p>
    <w:p w14:paraId="2C04EB1F">
      <w:pPr>
        <w:pStyle w:val="5"/>
        <w:tabs>
          <w:tab w:val="right" w:leader="dot" w:pos="8810"/>
        </w:tabs>
        <w:rPr>
          <w:rFonts w:ascii="等线" w:hAnsi="等线" w:eastAsia="等线"/>
          <w:sz w:val="21"/>
          <w:szCs w:val="22"/>
        </w:rPr>
      </w:pPr>
      <w:r>
        <w:fldChar w:fldCharType="begin"/>
      </w:r>
      <w:r>
        <w:instrText xml:space="preserve"> HYPERLINK \l "_Toc33965499" </w:instrText>
      </w:r>
      <w:r>
        <w:fldChar w:fldCharType="separate"/>
      </w:r>
      <w:r>
        <w:rPr>
          <w:rStyle w:val="9"/>
          <w:rFonts w:ascii="黑体" w:eastAsia="黑体"/>
        </w:rPr>
        <w:t>参考文献</w:t>
      </w:r>
      <w:r>
        <w:tab/>
      </w:r>
      <w:r>
        <w:fldChar w:fldCharType="begin"/>
      </w:r>
      <w:r>
        <w:instrText xml:space="preserve"> PAGEREF _Toc33965499 \h </w:instrText>
      </w:r>
      <w:r>
        <w:fldChar w:fldCharType="separate"/>
      </w:r>
      <w:r>
        <w:t>7</w:t>
      </w:r>
      <w:r>
        <w:fldChar w:fldCharType="end"/>
      </w:r>
      <w:r>
        <w:fldChar w:fldCharType="end"/>
      </w:r>
    </w:p>
    <w:p w14:paraId="2C04EB20">
      <w:pPr>
        <w:autoSpaceDE w:val="0"/>
        <w:autoSpaceDN w:val="0"/>
        <w:adjustRightInd w:val="0"/>
        <w:spacing w:line="360" w:lineRule="auto"/>
        <w:rPr>
          <w:rFonts w:ascii="宋体" w:hAnsi="宋体" w:cs="DFKai-SB"/>
          <w:bCs/>
          <w:sz w:val="24"/>
        </w:rPr>
      </w:pPr>
      <w:r>
        <w:rPr>
          <w:rFonts w:ascii="宋体" w:hAnsi="宋体"/>
          <w:bCs/>
          <w:sz w:val="32"/>
          <w:szCs w:val="21"/>
        </w:rPr>
        <w:fldChar w:fldCharType="end"/>
      </w:r>
    </w:p>
    <w:p w14:paraId="2C04EB21">
      <w:pPr>
        <w:autoSpaceDE w:val="0"/>
        <w:autoSpaceDN w:val="0"/>
        <w:adjustRightInd w:val="0"/>
        <w:spacing w:line="360" w:lineRule="auto"/>
        <w:rPr>
          <w:rFonts w:ascii="宋体" w:hAnsi="宋体" w:cs="DFKai-SB"/>
          <w:bCs/>
          <w:sz w:val="24"/>
        </w:rPr>
      </w:pPr>
    </w:p>
    <w:p w14:paraId="2C04EB22">
      <w:pPr>
        <w:autoSpaceDE w:val="0"/>
        <w:autoSpaceDN w:val="0"/>
        <w:adjustRightInd w:val="0"/>
        <w:spacing w:line="360" w:lineRule="auto"/>
        <w:rPr>
          <w:rFonts w:ascii="宋体" w:hAnsi="宋体" w:cs="DFKai-SB"/>
          <w:bCs/>
          <w:sz w:val="24"/>
        </w:rPr>
      </w:pPr>
    </w:p>
    <w:p w14:paraId="2C04EB23">
      <w:pPr>
        <w:autoSpaceDE w:val="0"/>
        <w:autoSpaceDN w:val="0"/>
        <w:adjustRightInd w:val="0"/>
        <w:spacing w:line="360" w:lineRule="auto"/>
        <w:rPr>
          <w:rFonts w:ascii="宋体" w:hAnsi="宋体" w:cs="DFKai-SB"/>
          <w:bCs/>
          <w:sz w:val="24"/>
        </w:rPr>
      </w:pPr>
    </w:p>
    <w:p w14:paraId="2C04EB24">
      <w:pPr>
        <w:autoSpaceDE w:val="0"/>
        <w:autoSpaceDN w:val="0"/>
        <w:adjustRightInd w:val="0"/>
        <w:spacing w:line="360" w:lineRule="auto"/>
        <w:rPr>
          <w:rFonts w:ascii="宋体" w:hAnsi="宋体" w:cs="DFKai-SB"/>
          <w:bCs/>
          <w:sz w:val="24"/>
        </w:rPr>
      </w:pPr>
    </w:p>
    <w:p w14:paraId="2C04EB25">
      <w:pPr>
        <w:autoSpaceDE w:val="0"/>
        <w:autoSpaceDN w:val="0"/>
        <w:adjustRightInd w:val="0"/>
        <w:spacing w:line="360" w:lineRule="auto"/>
        <w:rPr>
          <w:rFonts w:ascii="宋体" w:hAnsi="宋体" w:cs="DFKai-SB"/>
          <w:bCs/>
          <w:sz w:val="24"/>
        </w:rPr>
      </w:pPr>
    </w:p>
    <w:p w14:paraId="7FCD6842">
      <w:pPr>
        <w:autoSpaceDE w:val="0"/>
        <w:autoSpaceDN w:val="0"/>
        <w:adjustRightInd w:val="0"/>
        <w:spacing w:line="360" w:lineRule="auto"/>
        <w:rPr>
          <w:rFonts w:ascii="宋体" w:hAnsi="宋体" w:cs="DFKai-SB"/>
          <w:bCs/>
          <w:sz w:val="24"/>
        </w:rPr>
        <w:sectPr>
          <w:pgSz w:w="11906" w:h="16838"/>
          <w:pgMar w:top="1440" w:right="1466" w:bottom="1440" w:left="1620" w:header="851" w:footer="992" w:gutter="0"/>
          <w:pgNumType w:fmt="decimalEnclosedCircle"/>
          <w:cols w:space="425" w:num="1"/>
          <w:docGrid w:type="lines" w:linePitch="312" w:charSpace="0"/>
        </w:sectPr>
      </w:pPr>
    </w:p>
    <w:p w14:paraId="2C04EB27">
      <w:pPr>
        <w:pStyle w:val="2"/>
        <w:jc w:val="center"/>
        <w:rPr>
          <w:rFonts w:ascii="黑体" w:eastAsia="黑体"/>
          <w:sz w:val="32"/>
          <w:szCs w:val="32"/>
        </w:rPr>
      </w:pPr>
      <w:bookmarkStart w:id="0" w:name="_Toc33965493"/>
      <w:r>
        <w:rPr>
          <w:rFonts w:hint="eastAsia" w:ascii="黑体" w:eastAsia="黑体"/>
          <w:sz w:val="32"/>
          <w:szCs w:val="32"/>
        </w:rPr>
        <w:t>摘要</w:t>
      </w:r>
      <w:bookmarkEnd w:id="0"/>
    </w:p>
    <w:p>
      <w:pPr>
        <w:spacing w:line="360" w:lineRule="auto" w:before="0" w:after="0"/>
        <w:ind w:firstLine="420"/>
        <w:jc w:val="both"/>
      </w:pPr>
      <w:r>
        <w:rPr>
          <w:rFonts w:ascii="Times New Roman" w:hAnsi="Times New Roman" w:eastAsia="宋体"/>
          <w:sz w:val="24"/>
        </w:rPr>
        <w:t>AI Agent 能够调用文件、网络、代码和数据库，安全风险往往不表现为单个恶意动作，而隐藏在多个普通动作的异常顺序与上下文中。本文设计并实现 AgentGuard：一个基于行为序列建模的 AI Agent 异常检测系统。系统把 Agent 工具调用与主机进程、网络、文件、注册表等事件映射为统一序列，使用轻量 Transformer 联合完成窗口异常分类和下一事件预测，再与具有严格顺序约束的透明规则融合。系统支持离线训练、流式推理、本地 Web 演示，并为告警保留模型分数、规则分数、关键事件、自然语言解释和原始日志证据。</w:t>
      </w:r>
    </w:p>
    <w:p>
      <w:pPr>
        <w:spacing w:line="360" w:lineRule="auto" w:before="0" w:after="0"/>
        <w:ind w:firstLine="420"/>
        <w:jc w:val="both"/>
      </w:pPr>
      <w:r>
        <w:rPr>
          <w:rFonts w:ascii="Times New Roman" w:hAnsi="Times New Roman" w:eastAsia="宋体"/>
          <w:sz w:val="24"/>
        </w:rPr>
        <w:t>自主命题赛道没有为本题提供数据。本文使用固定随机种子的自建增强工程基准，按实体隔离，加入共享高风险词元的困难正常样本，并将横向移动异常模板从训练和验证中留出。400 个测试序列上，Transformer 单模型检出率为 65.00%，透明顺序规则为 84.00%，实际混合告警链路为 97.00%，误报率 15.33%，F1 为 0.798，ROC-AUC 为 0.971。结果证明完整工程链路可复现，也显示模型对留出场景的泛化仍不足，不能用自建基准替代真实部署结论。</w:t>
      </w:r>
    </w:p>
    <w:p>
      <w:pPr>
        <w:spacing w:line="360" w:lineRule="auto" w:before="0" w:after="0"/>
        <w:ind w:firstLine="420"/>
        <w:jc w:val="both"/>
      </w:pPr>
      <w:r>
        <w:rPr>
          <w:rFonts w:ascii="Times New Roman" w:hAnsi="Times New Roman" w:eastAsia="宋体"/>
          <w:sz w:val="24"/>
        </w:rPr>
        <w:t>在最终确认版本中，作品进一步补充了三类真实格式数据入口：本机正常行为快照、隔离环境可控安全测试日志、Loghub BGL/HDFS 公共系统日志。Web 演示台新增“上传日志分析”能力，支持直接选择 .log 文件并在本机完成自动解析、窗口切分、混合评分和行为链追踪。随包提供四个可上传 .log 样例，分别覆盖公开异常日志、可控攻击链、正常主机快照和混合工程测试集，避免现场演示变成单一写死样例。上传结果会明确显示解析器类型、事件数、公开标签异常数、AgentGuard 告警数和完整时间线。所有上传内容默认只在 127.0.0.1 本地服务进程内解析，不发送到外部服务器。</w:t>
      </w:r>
    </w:p>
    <w:p>
      <w:pPr>
        <w:spacing w:line="360" w:lineRule="auto" w:before="0" w:after="0"/>
        <w:ind w:firstLine="420"/>
        <w:jc w:val="both"/>
      </w:pPr>
      <w:r>
        <w:rPr>
          <w:rFonts w:ascii="Times New Roman" w:hAnsi="Times New Roman" w:eastAsia="宋体"/>
          <w:sz w:val="24"/>
        </w:rPr>
        <w:t>关键词：AI Agent；行为序列；异常检测；Transformer；可解释安全</w:t>
      </w:r>
    </w:p>
    <w:p w14:paraId="0FA2DEA9">
      <w:pPr>
        <w:autoSpaceDE w:val="0"/>
        <w:autoSpaceDN w:val="0"/>
        <w:adjustRightInd w:val="0"/>
        <w:spacing w:line="360" w:lineRule="auto"/>
        <w:rPr>
          <w:rFonts w:ascii="宋体" w:hAnsi="宋体" w:cs="DFKai-SB"/>
          <w:bCs/>
          <w:sz w:val="24"/>
        </w:rPr>
        <w:sectPr>
          <w:footerReference r:id="rId4" w:type="default"/>
          <w:pgSz w:w="11906" w:h="16838"/>
          <w:pgMar w:top="1440" w:right="1466" w:bottom="1440" w:left="1620" w:header="851" w:footer="992" w:gutter="0"/>
          <w:pgNumType w:start="1"/>
          <w:cols w:space="425" w:num="1"/>
          <w:docGrid w:type="lines" w:linePitch="312" w:charSpace="0"/>
        </w:sectPr>
      </w:pPr>
    </w:p>
    <w:p w14:paraId="2C04EB2E">
      <w:pPr>
        <w:pStyle w:val="2"/>
        <w:jc w:val="center"/>
        <w:rPr>
          <w:rFonts w:ascii="黑体" w:eastAsia="黑体"/>
          <w:sz w:val="32"/>
          <w:szCs w:val="32"/>
        </w:rPr>
      </w:pPr>
      <w:bookmarkStart w:id="1" w:name="_Toc33965494"/>
      <w:r>
        <w:rPr>
          <w:rFonts w:hint="eastAsia" w:ascii="黑体" w:eastAsia="黑体"/>
          <w:sz w:val="32"/>
          <w:szCs w:val="32"/>
        </w:rPr>
        <w:t>第一章 作品概述</w:t>
      </w:r>
      <w:bookmarkEnd w:id="1"/>
    </w:p>
    <w:p>
      <w:pPr>
        <w:pStyle w:val="Heading2"/>
        <w:spacing w:before="240" w:after="120"/>
        <w:jc w:val="left"/>
      </w:pPr>
      <w:r>
        <w:rPr>
          <w:rFonts w:ascii="黑体" w:hAnsi="黑体" w:eastAsia="黑体"/>
          <w:b/>
          <w:sz w:val="28"/>
        </w:rPr>
        <w:t>1.1 项目背景</w:t>
      </w:r>
    </w:p>
    <w:p>
      <w:pPr>
        <w:spacing w:line="360" w:lineRule="auto" w:before="0" w:after="0"/>
        <w:ind w:firstLine="420"/>
        <w:jc w:val="both"/>
      </w:pPr>
      <w:r>
        <w:rPr>
          <w:rFonts w:ascii="Times New Roman" w:hAnsi="Times New Roman" w:eastAsia="宋体"/>
          <w:sz w:val="24"/>
        </w:rPr>
        <w:t>AI Agent 已从对话回答扩展到文件访问、代码执行、网络请求、数据库查询、长期记忆和多智能体协作。单次工具调用往往具有合理业务含义，但提示注入、权限误配、工具链污染或异常规划可能让多个普通动作组合成高风险行为链。传统的单事件黑名单难以同时理解行为顺序、上下文与跨域关联，也难以向运维人员说明告警依据。</w:t>
      </w:r>
    </w:p>
    <w:p>
      <w:pPr>
        <w:spacing w:line="360" w:lineRule="auto" w:before="0" w:after="0"/>
        <w:ind w:firstLine="420"/>
        <w:jc w:val="both"/>
      </w:pPr>
      <w:r>
        <w:rPr>
          <w:rFonts w:ascii="Times New Roman" w:hAnsi="Times New Roman" w:eastAsia="宋体"/>
          <w:sz w:val="24"/>
        </w:rPr>
        <w:t>AgentGuard 面向开放式自主命题作品赛的 AI 衍生安全方向，提出一种基于行为序列建模的 AI Agent 异常检测系统。系统统一接入 Agent 工具调用和主机进程、网络、文件、注册表等遥测，把离散事件组织为按实体和时间排序的行为窗口，使用轻量 Transformer 学习上下文关系，并为告警保留关键事件、自然语言说明和可追溯日志证据。</w:t>
      </w:r>
    </w:p>
    <w:p>
      <w:pPr>
        <w:pStyle w:val="Heading2"/>
        <w:spacing w:before="240" w:after="120"/>
        <w:jc w:val="left"/>
      </w:pPr>
      <w:r>
        <w:rPr>
          <w:rFonts w:ascii="黑体" w:hAnsi="黑体" w:eastAsia="黑体"/>
          <w:b/>
          <w:sz w:val="28"/>
        </w:rPr>
        <w:t>1.2 应用价值</w:t>
      </w:r>
    </w:p>
    <w:p>
      <w:pPr>
        <w:spacing w:line="360" w:lineRule="auto" w:before="0" w:after="0"/>
        <w:ind w:firstLine="420"/>
        <w:jc w:val="both"/>
      </w:pPr>
      <w:r>
        <w:rPr>
          <w:rFonts w:ascii="Times New Roman" w:hAnsi="Times New Roman" w:eastAsia="宋体"/>
          <w:sz w:val="24"/>
        </w:rPr>
        <w:t>本作品服务于企业内部 Agent、自动化运维 Agent、研发助手和数据分析 Agent 的本地安全审计。核心功能不执行攻击，只对合法、授权环境中的行为日志进行防御性分析。系统可以帮助安全人员回答三个问题：当前行为链是否偏离正常模式、哪些事件对风险判断贡献较高、告警能否回到原始证据复核。</w:t>
      </w:r>
    </w:p>
    <w:p>
      <w:pPr>
        <w:pStyle w:val="Heading2"/>
        <w:spacing w:before="240" w:after="120"/>
        <w:jc w:val="left"/>
      </w:pPr>
      <w:r>
        <w:rPr>
          <w:rFonts w:ascii="黑体" w:hAnsi="黑体" w:eastAsia="黑体"/>
          <w:b/>
          <w:sz w:val="28"/>
        </w:rPr>
        <w:t>1.3 作品范围</w:t>
      </w:r>
    </w:p>
    <w:p>
      <w:pPr>
        <w:spacing w:line="360" w:lineRule="auto" w:before="0" w:after="0"/>
        <w:ind w:firstLine="420"/>
        <w:jc w:val="both"/>
      </w:pPr>
      <w:r>
        <w:rPr>
          <w:rFonts w:ascii="Times New Roman" w:hAnsi="Times New Roman" w:eastAsia="宋体"/>
          <w:sz w:val="24"/>
        </w:rPr>
        <w:t>当前随包数据是固定随机种子生成的增强工程基准，用于验证安装、训练、评估、解释、Web 演示和打包链路。该数据不代表真实生产环境，报告不会把工程基准结果写成真实部署效果。参赛队后续可在隔离授权环境中采集真实 Agent 轨迹，并按同一模式接入复测。</w:t>
      </w:r>
    </w:p>
    <w:p>
      <w:pPr>
        <w:pStyle w:val="Heading2"/>
        <w:spacing w:before="240" w:after="120"/>
        <w:jc w:val="left"/>
      </w:pPr>
      <w:r>
        <w:rPr>
          <w:rFonts w:ascii="黑体" w:hAnsi="黑体" w:eastAsia="黑体"/>
          <w:b/>
          <w:sz w:val="28"/>
        </w:rPr>
        <w:t>1.4 最终确认的交付成果</w:t>
      </w:r>
    </w:p>
    <w:p>
      <w:pPr>
        <w:spacing w:line="360" w:lineRule="auto" w:before="0" w:after="0"/>
        <w:ind w:firstLine="420"/>
        <w:jc w:val="both"/>
      </w:pPr>
      <w:r>
        <w:rPr>
          <w:rFonts w:ascii="Times New Roman" w:hAnsi="Times New Roman" w:eastAsia="宋体"/>
          <w:sz w:val="24"/>
        </w:rPr>
        <w:t>截至本报告重建时，AgentGuard 已经形成可提交、可部署、可演示、可复核的完整工程包。交付内容包括：核心 Python 包、模型配置、固定种子数据生成器、训练脚本、评估脚本、透明规则基线、流式分析器、本地 Web 演示台、Windows/macOS 一键安装脚本、作品报告、系统使用说明、答辩讲解稿、第三方来源说明、原创性声明模板、项目文件清单和完整包哈希。项目目录中的 src/agentguard 保存模型、数据、规则和解释核心实现；scripts 保存生成、训练、评估、服务和材料构建入口；web 保存浏览器演示界面；data/demo 保存固定种子工程基准；data/uploadlogs 保存四个现场可上传 .log 演示样例；artifacts/evaluation 保存指标、告警和图表；submission 保存按比赛要求整理的提交材料。</w:t>
      </w:r>
    </w:p>
    <w:p>
      <w:pPr>
        <w:spacing w:line="360" w:lineRule="auto" w:before="0" w:after="0"/>
        <w:ind w:firstLine="420"/>
        <w:jc w:val="both"/>
      </w:pPr>
      <w:r>
        <w:rPr>
          <w:rFonts w:ascii="Times New Roman" w:hAnsi="Times New Roman" w:eastAsia="宋体"/>
          <w:sz w:val="24"/>
        </w:rPr>
        <w:t>四个 .log 演示样例分别是 01publicbglanomaly.log、02controlledsecuritychain.log、03localnormalsnapshot.log 和 04demomixeddataset.log。第一份来自 Loghub BGL 公开系统日志，保留 BGL 原始文本格式，用于证明系统能够接入非本项目生成的公开日志；第二份来自隔离环境的可控异常链，只生成模拟日志，不执行真实攻击；第三份来自本机正常行为快照，重点展示系统能够处理正常日志且通常不产生告警；第四份来自自建混合测试集，用于展示多场景批量分析能力。演示时可先上传正常日志，再上传可控异常链，最后上传公开 BGL 异常日志，让评委看到同一页面能够处理多种来源，而不是只识别一个写死按钮。</w:t>
      </w:r>
    </w:p>
    <w:p>
      <w:pPr>
        <w:spacing w:line="360" w:lineRule="auto" w:before="0" w:after="0"/>
        <w:ind w:firstLine="420"/>
        <w:jc w:val="both"/>
      </w:pPr>
      <w:r>
        <w:rPr>
          <w:rFonts w:ascii="Times New Roman" w:hAnsi="Times New Roman" w:eastAsia="宋体"/>
          <w:sz w:val="24"/>
        </w:rPr>
        <w:t>本作品的安全边界也已明确：它是防御检测原型，不是攻击工具；可控异常测试只生成日志，不读取真实凭据、不扫描网络、不外传文件；本机快照默认不采集命令行、用户名、主机名、远端 IP、Cookie、密钥或完整路径；公共日志结果只证明系统具备真实格式接入能力，不等同于 AI Agent 攻击检测精度。上述边界写入 README、数据接入说明和答辩口径，防止比赛陈述出现过度宣称。</w:t>
      </w:r>
    </w:p>
    <w:p w14:paraId="09096E6A">
      <w:pPr>
        <w:autoSpaceDE w:val="0"/>
        <w:autoSpaceDN w:val="0"/>
        <w:adjustRightInd w:val="0"/>
        <w:spacing w:line="360" w:lineRule="auto"/>
        <w:rPr>
          <w:rFonts w:ascii="宋体" w:hAnsi="宋体" w:cs="DFKai-SB"/>
          <w:bCs/>
          <w:sz w:val="24"/>
        </w:rPr>
        <w:sectPr>
          <w:pgSz w:w="11906" w:h="16838"/>
          <w:pgMar w:top="1440" w:right="1466" w:bottom="1440" w:left="1620" w:header="851" w:footer="992" w:gutter="0"/>
          <w:cols w:space="425" w:num="1"/>
          <w:docGrid w:type="lines" w:linePitch="312" w:charSpace="0"/>
        </w:sectPr>
      </w:pPr>
    </w:p>
    <w:p w14:paraId="2C04EB37">
      <w:pPr>
        <w:pStyle w:val="2"/>
        <w:jc w:val="center"/>
        <w:rPr>
          <w:rFonts w:ascii="黑体" w:eastAsia="黑体"/>
          <w:sz w:val="32"/>
          <w:szCs w:val="32"/>
        </w:rPr>
      </w:pPr>
      <w:bookmarkStart w:id="2" w:name="_Toc33965495"/>
      <w:r>
        <w:rPr>
          <w:rFonts w:hint="eastAsia" w:ascii="黑体" w:eastAsia="黑体"/>
          <w:sz w:val="32"/>
          <w:szCs w:val="32"/>
        </w:rPr>
        <w:t>第二章 作品设计与实现</w:t>
      </w:r>
      <w:bookmarkEnd w:id="2"/>
    </w:p>
    <w:p>
      <w:pPr>
        <w:pStyle w:val="Heading2"/>
        <w:spacing w:before="240" w:after="120"/>
        <w:jc w:val="left"/>
      </w:pPr>
      <w:r>
        <w:rPr>
          <w:rFonts w:ascii="黑体" w:hAnsi="黑体" w:eastAsia="黑体"/>
          <w:b/>
          <w:sz w:val="28"/>
        </w:rPr>
        <w:t>2.1 总体架构</w:t>
      </w:r>
    </w:p>
    <w:p>
      <w:pPr>
        <w:spacing w:line="360" w:lineRule="auto" w:before="0" w:after="0"/>
        <w:ind w:firstLine="420"/>
        <w:jc w:val="both"/>
      </w:pPr>
      <w:r>
        <w:rPr>
          <w:rFonts w:ascii="Times New Roman" w:hAnsi="Times New Roman" w:eastAsia="宋体"/>
          <w:sz w:val="24"/>
        </w:rPr>
        <w:t>系统由事件适配、序列构建、模型训练、异常推理、解释生成、评测和本地演示七部分组成。CSV 或 JSONL 日志先映射为统一事件结构，再按实体聚合、按时间排序并切分重叠窗口。训练与推理共享词表、窗口配置、连续特征和阈值，降低离线实验与现场演示之间的漂移。</w:t>
      </w:r>
    </w:p>
    <w:p>
      <w:pPr>
        <w:spacing w:before="120"/>
        <w:jc w:val="center"/>
      </w:pPr>
      <w:r>
        <w:drawing>
          <wp:inline xmlns:a="http://schemas.openxmlformats.org/drawingml/2006/main" xmlns:pic="http://schemas.openxmlformats.org/drawingml/2006/picture">
            <wp:extent cx="5400000" cy="2131327"/>
            <wp:docPr id="1" name="Picture 1"/>
            <wp:cNvGraphicFramePr>
              <a:graphicFrameLocks noChangeAspect="1"/>
            </wp:cNvGraphicFramePr>
            <a:graphic>
              <a:graphicData uri="http://schemas.openxmlformats.org/drawingml/2006/picture">
                <pic:pic>
                  <pic:nvPicPr>
                    <pic:cNvPr id="0" name="model_architecture.png"/>
                    <pic:cNvPicPr/>
                  </pic:nvPicPr>
                  <pic:blipFill>
                    <a:blip r:embed="rId7"/>
                    <a:stretch>
                      <a:fillRect/>
                    </a:stretch>
                  </pic:blipFill>
                  <pic:spPr>
                    <a:xfrm>
                      <a:off x="0" y="0"/>
                      <a:ext cx="5400000" cy="2131327"/>
                    </a:xfrm>
                    <a:prstGeom prst="rect"/>
                  </pic:spPr>
                </pic:pic>
              </a:graphicData>
            </a:graphic>
          </wp:inline>
        </w:drawing>
      </w:r>
    </w:p>
    <w:p>
      <w:pPr>
        <w:spacing w:before="60" w:after="120"/>
        <w:jc w:val="center"/>
      </w:pPr>
      <w:r>
        <w:rPr>
          <w:rFonts w:ascii="Times New Roman" w:hAnsi="Times New Roman" w:eastAsia="宋体"/>
          <w:sz w:val="21"/>
        </w:rPr>
        <w:t>图 1  AgentGuard总体架构</w:t>
      </w:r>
    </w:p>
    <w:p>
      <w:pPr>
        <w:pStyle w:val="Heading2"/>
        <w:spacing w:before="240" w:after="120"/>
        <w:jc w:val="left"/>
      </w:pPr>
      <w:r>
        <w:rPr>
          <w:rFonts w:ascii="黑体" w:hAnsi="黑体" w:eastAsia="黑体"/>
          <w:b/>
          <w:sz w:val="28"/>
        </w:rPr>
        <w:t>2.2 行为表示</w:t>
      </w:r>
    </w:p>
    <w:p>
      <w:pPr>
        <w:spacing w:line="360" w:lineRule="auto" w:before="0" w:after="0"/>
        <w:ind w:firstLine="420"/>
        <w:jc w:val="both"/>
      </w:pPr>
      <w:r>
        <w:rPr>
          <w:rFonts w:ascii="Times New Roman" w:hAnsi="Times New Roman" w:eastAsia="宋体"/>
          <w:sz w:val="24"/>
        </w:rPr>
        <w:t>每个事件至少包含时间、实体、事件类型和动作，可选包含来源、对象类型、对象名称、执行结果和脱敏原始字段。离散词元由“来源、事件类型、动作、对象类型、结果”组成；连续特征包含相邻事件时间差、昼夜周期、失败标记、对象长度和 Agent 来源标记。训练标签、场景名称和风险提示只用于工程评测，不作为线上模型输入。</w:t>
      </w:r>
    </w:p>
    <w:p>
      <w:pPr>
        <w:pStyle w:val="Heading2"/>
        <w:spacing w:before="240" w:after="120"/>
        <w:jc w:val="left"/>
      </w:pPr>
      <w:r>
        <w:rPr>
          <w:rFonts w:ascii="黑体" w:hAnsi="黑体" w:eastAsia="黑体"/>
          <w:b/>
          <w:sz w:val="28"/>
        </w:rPr>
        <w:t>2.3 轻量 Transformer</w:t>
      </w:r>
    </w:p>
    <w:p>
      <w:pPr>
        <w:spacing w:line="360" w:lineRule="auto" w:before="0" w:after="0"/>
        <w:ind w:firstLine="420"/>
        <w:jc w:val="both"/>
      </w:pPr>
      <w:r>
        <w:rPr>
          <w:rFonts w:ascii="Times New Roman" w:hAnsi="Times New Roman" w:eastAsia="宋体"/>
          <w:sz w:val="24"/>
        </w:rPr>
        <w:t>模型采用两层、多头自注意力结构，通过分类头输出窗口异常概率，同时预测下一事件以学习正常行为语法。异常分数融合分类概率与下一事件惊异度。多任务结构的目标是减少模型只记住单个高风险词元的倾向，但其有效性必须通过困难样本、基线对比和消融实验验证，不能仅凭架构名称成立。</w:t>
      </w:r>
    </w:p>
    <w:p>
      <w:pPr>
        <w:pStyle w:val="Heading2"/>
        <w:spacing w:before="240" w:after="120"/>
        <w:jc w:val="left"/>
      </w:pPr>
      <w:r>
        <w:rPr>
          <w:rFonts w:ascii="黑体" w:hAnsi="黑体" w:eastAsia="黑体"/>
          <w:b/>
          <w:sz w:val="28"/>
        </w:rPr>
        <w:t>2.4 告警解释与证据</w:t>
      </w:r>
    </w:p>
    <w:p>
      <w:pPr>
        <w:spacing w:line="360" w:lineRule="auto" w:before="0" w:after="0"/>
        <w:ind w:firstLine="420"/>
        <w:jc w:val="both"/>
      </w:pPr>
      <w:r>
        <w:rPr>
          <w:rFonts w:ascii="Times New Roman" w:hAnsi="Times New Roman" w:eastAsia="宋体"/>
          <w:sz w:val="24"/>
        </w:rPr>
        <w:t>系统综合注意力和逐事件惊异度排列关键事件，并把模型贡献与独立规则提示分开呈现。告警保存脱敏后的事件内容、来源和证据标识，便于复核。注意力不是因果解释，因此报告把它限定为“证据排序线索”，并通过删除关键事件后的分数变化验证解释一致性。</w:t>
      </w:r>
    </w:p>
    <w:p>
      <w:pPr>
        <w:pStyle w:val="Heading2"/>
        <w:spacing w:before="240" w:after="120"/>
        <w:jc w:val="left"/>
      </w:pPr>
      <w:r>
        <w:rPr>
          <w:rFonts w:ascii="黑体" w:hAnsi="黑体" w:eastAsia="黑体"/>
          <w:b/>
          <w:sz w:val="28"/>
        </w:rPr>
        <w:t>2.5 本地演示与安全边界</w:t>
      </w:r>
    </w:p>
    <w:p>
      <w:pPr>
        <w:spacing w:line="360" w:lineRule="auto" w:before="0" w:after="0"/>
        <w:ind w:firstLine="420"/>
        <w:jc w:val="both"/>
      </w:pPr>
      <w:r>
        <w:rPr>
          <w:rFonts w:ascii="Times New Roman" w:hAnsi="Times New Roman" w:eastAsia="宋体"/>
          <w:sz w:val="24"/>
        </w:rPr>
        <w:t>Web 演示默认只监听 127.0.0.1，核心训练与推理不依赖外部网络。服务限制请求大小、事件数量和字段长度，匿名化使用由操作者提供的秘密盐。提交包不包含真实密钥、账号、Cookie、私钥或未经授权的数据。</w:t>
      </w:r>
    </w:p>
    <w:p>
      <w:pPr>
        <w:pStyle w:val="Heading2"/>
        <w:spacing w:before="240" w:after="120"/>
        <w:jc w:val="left"/>
      </w:pPr>
      <w:r>
        <w:rPr>
          <w:rFonts w:ascii="黑体" w:hAnsi="黑体" w:eastAsia="黑体"/>
          <w:b/>
          <w:sz w:val="28"/>
        </w:rPr>
        <w:t>2.6 最终检测链路</w:t>
      </w:r>
    </w:p>
    <w:p>
      <w:pPr>
        <w:spacing w:line="360" w:lineRule="auto" w:before="0" w:after="0"/>
        <w:ind w:firstLine="420"/>
        <w:jc w:val="both"/>
      </w:pPr>
      <w:r>
        <w:rPr>
          <w:rFonts w:ascii="Times New Roman" w:hAnsi="Times New Roman" w:eastAsia="宋体"/>
          <w:sz w:val="24"/>
        </w:rPr>
        <w:t>AgentGuard 的最终检测链路可以概括为“日志进入、事件统一、序列切窗、模型评分、规则复核、混合决策、证据展开”。第一步是日志接入。输入可以是本项目统一 JSONL，也可以是 Loghub BGL/HDFS 这类原始系统日志。Web 页面上传文件后，后端 scripts/serve.py 根据文件名和内容自动识别格式：BGL 日志交给 convertloghubbgl.py，HDFS 日志交给 convertloghubhdfs.py，AgentGuard JSONL 则逐行还原为 BehaviorEvent。第二步是事件统一。无论来源是 Agent 工具调用、主机进程、网络连接、文件操作还是公共系统日志，最终都会映射为包含 timestamp、entityid、source、eventtype、action、objecttype、objectname、result、label 和 raw 的统一事件。</w:t>
      </w:r>
    </w:p>
    <w:p>
      <w:pPr>
        <w:spacing w:line="360" w:lineRule="auto" w:before="0" w:after="0"/>
        <w:ind w:firstLine="420"/>
        <w:jc w:val="both"/>
      </w:pPr>
      <w:r>
        <w:rPr>
          <w:rFonts w:ascii="Times New Roman" w:hAnsi="Times New Roman" w:eastAsia="宋体"/>
          <w:sz w:val="24"/>
        </w:rPr>
        <w:t>第三步是行为窗口构建。系统按 entityid 聚合事件，按时间排序，再按照配置中的窗口长度 24、步长 8、最少事件数切分为重叠序列。窗口是模型和规则共同分析的基本单位。这样做的原因是 Agent 风险通常不是单一动作，而是多个动作组合后的语义。例如“读取文件”本身可能正常，“连接网络”本身也可能正常，但“不可信内容进入 Agent 后，提权、读取敏感对象、连接新域名、上传压缩包”连在一起就构成高风险链路。</w:t>
      </w:r>
    </w:p>
    <w:p>
      <w:pPr>
        <w:spacing w:line="360" w:lineRule="auto" w:before="0" w:after="0"/>
        <w:ind w:firstLine="420"/>
        <w:jc w:val="both"/>
      </w:pPr>
      <w:r>
        <w:rPr>
          <w:rFonts w:ascii="Times New Roman" w:hAnsi="Times New Roman" w:eastAsia="宋体"/>
          <w:sz w:val="24"/>
        </w:rPr>
        <w:t>第四步是模型评分。Tiny Transformer 接收行为词元和连续特征，输出窗口异常概率，同时通过下一事件预测任务估计当前序列是否偏离正常行为语法。模型分数反映“这段行为从统计上下文看有多异常”。第五步是透明规则复核。规则只针对有明确安全语义和顺序约束的链路加分，例如“读敏感对象后外连再上传”、“网络扫描后远程启动”、“不可信输入后权限提升”、“公开系统日志中连续失败或中断事件”。第六步是混合决策。当前混合方式是 max(Transformer 分数, 透明顺序规则分数)，超过验证集阈值即输出告警。这样可以把模型擅长的上下文偏离和规则擅长的明确攻击链结合起来，同时在结果中保留两个分数，避免把规则贡献误说成模型能力。</w:t>
      </w:r>
    </w:p>
    <w:p>
      <w:pPr>
        <w:spacing w:line="360" w:lineRule="auto" w:before="0" w:after="0"/>
        <w:ind w:firstLine="420"/>
        <w:jc w:val="both"/>
      </w:pPr>
      <w:r>
        <w:rPr>
          <w:rFonts w:ascii="Times New Roman" w:hAnsi="Times New Roman" w:eastAsia="宋体"/>
          <w:sz w:val="24"/>
        </w:rPr>
        <w:t>最后一步是证据展开。告警对象不是一句笼统结论，而是一组可复核输出：实体 ID、严重等级、混合分、模型分、规则分、阈值、自然语言解释、映射风险类别、关键证据事件和完整事件时间线。Web 页面点击“查看链路”后，评委能够看到每个事件的时间、动作、对象、场景和原始日志字段，关键证据会被高亮。命令行分析也会把同样信息写入 JSONL 结果文件，便于复查。</w:t>
      </w:r>
    </w:p>
    <w:p>
      <w:pPr>
        <w:pStyle w:val="Heading2"/>
        <w:spacing w:before="240" w:after="120"/>
        <w:jc w:val="left"/>
      </w:pPr>
      <w:r>
        <w:rPr>
          <w:rFonts w:ascii="黑体" w:hAnsi="黑体" w:eastAsia="黑体"/>
          <w:b/>
          <w:sz w:val="28"/>
        </w:rPr>
        <w:t>2.7 数据接入、上传解析与输入输出</w:t>
      </w:r>
    </w:p>
    <w:p>
      <w:pPr>
        <w:spacing w:line="360" w:lineRule="auto" w:before="0" w:after="0"/>
        <w:ind w:firstLine="420"/>
        <w:jc w:val="both"/>
      </w:pPr>
      <w:r>
        <w:rPr>
          <w:rFonts w:ascii="Times New Roman" w:hAnsi="Times New Roman" w:eastAsia="宋体"/>
          <w:sz w:val="24"/>
        </w:rPr>
        <w:t>项目当前支持三层输入。第一层是统一 JSONL，每行一个事件对象，适用于训练、评估、命令行分析和 Web 上传。第二层是原始公共系统日志，目前实现了 Loghub BGL 与 HDFS 的转换器。BGL 第一列为公开标签，- 表示正常，其它标签表示异常；转换后这些标签进入 label 字段，但页面会把“公共原标签异常数”和“AgentGuard 告警数”分开显示。第三层是本机与可控测试日志。本机正常快照由 collectlocalnormal.py 生成，主要用于验证真实主机遥测格式和误报情况；可控安全日志由 generatecontrolledsecuritylogs.py 生成，只用于展示证据链，不执行真实危险操作。</w:t>
      </w:r>
    </w:p>
    <w:p>
      <w:pPr>
        <w:spacing w:line="360" w:lineRule="auto" w:before="0" w:after="0"/>
        <w:ind w:firstLine="420"/>
        <w:jc w:val="both"/>
      </w:pPr>
      <w:r>
        <w:rPr>
          <w:rFonts w:ascii="Times New Roman" w:hAnsi="Times New Roman" w:eastAsia="宋体"/>
          <w:sz w:val="24"/>
        </w:rPr>
        <w:t>页面上传的输入是本地文件，支持 .log、.jsonl 和 .txt。为了比赛现场更直观，项目已经准备了四个 .log 后缀样例。上传后端接收的 JSON 结构包含文件名、文件内容和事件数量上限，例如 {"filename":"BGL2k.log","content":"原始日志文本","limit":800}。输出结构包含 summary 和 results。summary.parser 表示实际使用的解析器，如 loghubbgl 或 agentguardjsonl；summary.eventcount 表示解析出的事件数；summary.sequencecount 表示形成的行为窗口数；summary.agentguardalertcount 表示 AgentGuard 判出的告警窗口数；summary.publiclabeleventcount 表示公共数据原标签中的异常事件数；summary.privacy 说明上传内容只在本机解析。results 列表按风险分排序，包含每个告警窗口的评分、解释和完整时间线。</w:t>
      </w:r>
    </w:p>
    <w:p>
      <w:pPr>
        <w:spacing w:line="360" w:lineRule="auto" w:before="0" w:after="0"/>
        <w:ind w:firstLine="420"/>
        <w:jc w:val="both"/>
      </w:pPr>
      <w:r>
        <w:rPr>
          <w:rFonts w:ascii="Times New Roman" w:hAnsi="Times New Roman" w:eastAsia="宋体"/>
          <w:sz w:val="24"/>
        </w:rPr>
        <w:t>这套输入输出使项目既能展示模型评测，也能展示工程接入。评委如果质疑页面是否写死，可以连续上传 03localnormalsnapshot.log、02controlledsecuritychain.log、01publicbglanomaly.log 和 04demomixeddataset.log。正常日志会得到较少或没有告警；可控异常链会输出清晰的提示注入与外传证据；BGL 公开日志会显示 loghubbgl 解析器和公开异常标签数量；混合测试集会产生多个实体和多类告警。四个文件内容不同、来源不同、解析器不同，输出也不同，因此能够证明系统不是单一静态页面。</w:t>
      </w:r>
    </w:p>
    <w:p>
      <w:pPr>
        <w:pStyle w:val="Heading2"/>
        <w:spacing w:before="240" w:after="120"/>
        <w:jc w:val="left"/>
      </w:pPr>
      <w:r>
        <w:rPr>
          <w:rFonts w:ascii="黑体" w:hAnsi="黑体" w:eastAsia="黑体"/>
          <w:b/>
          <w:sz w:val="28"/>
        </w:rPr>
        <w:t>2.8 部署实现与运行模式</w:t>
      </w:r>
    </w:p>
    <w:p>
      <w:pPr>
        <w:spacing w:line="360" w:lineRule="auto" w:before="0" w:after="0"/>
        <w:ind w:firstLine="420"/>
        <w:jc w:val="both"/>
      </w:pPr>
      <w:r>
        <w:rPr>
          <w:rFonts w:ascii="Times New Roman" w:hAnsi="Times New Roman" w:eastAsia="宋体"/>
          <w:sz w:val="24"/>
        </w:rPr>
        <w:t>AgentGuard 支持 Windows 10/11 和 macOS。Windows 使用 setupenv.ps1 创建虚拟环境并安装依赖，macOS 使用 setupenv.sh。完整复现使用 runall.ps1 或 runall.sh，脚本会依次生成数据、计算基线、训练模型、评估指标、运行测试、生成提交材料和打包。已有模型时，可用 rundemo.ps1 或 rundemo.sh 启动本地演示台，默认地址为 http://127.0.0.1:8080。如果 8080 被占用，可以直接运行 python scripts/serve.py --port 8081 改用其它端口。</w:t>
      </w:r>
    </w:p>
    <w:p>
      <w:pPr>
        <w:spacing w:line="360" w:lineRule="auto" w:before="0" w:after="0"/>
        <w:ind w:firstLine="420"/>
        <w:jc w:val="both"/>
      </w:pPr>
      <w:r>
        <w:rPr>
          <w:rFonts w:ascii="Times New Roman" w:hAnsi="Times New Roman" w:eastAsia="宋体"/>
          <w:sz w:val="24"/>
        </w:rPr>
        <w:t>本地演示服务是轻量 HTTP 服务，不依赖数据库。启动时加载 artifacts/agentguard.pt 模型权重和配置，读取 web/index.html 作为页面，暴露 /api/health、/api/demo、/api/local-snapshot、/api/controlled-security、/api/upload-log 和 /api/analyze 等接口。/api/demo 用随包测试集展示整体检测能力；/api/local-snapshot 从当前主机采集脱敏进程和端口桶快照；/api/controlled-security 生成可控异常模拟日志；/api/upload-log 用于页面上传文件；/api/analyze 接受外部程序直接提交事件数组。上传大小上限设置为 8 MiB，事件上限设置为 5000，避免现场误传超大日志导致浏览器卡住。</w:t>
      </w:r>
    </w:p>
    <w:p>
      <w:pPr>
        <w:spacing w:line="360" w:lineRule="auto" w:before="0" w:after="0"/>
        <w:ind w:firstLine="420"/>
        <w:jc w:val="both"/>
      </w:pPr>
      <w:r>
        <w:rPr>
          <w:rFonts w:ascii="Times New Roman" w:hAnsi="Times New Roman" w:eastAsia="宋体"/>
          <w:sz w:val="24"/>
        </w:rPr>
        <w:t>如果要从演示原型进入真实部署，应至少补充六项工程措施：第一，在内网服务前增加身份认证、访问控制和 TLS；第二，把上传日志先进入脱敏和敏感字段过滤器，严禁保留密钥、Cookie、令牌和个人隐私；第三，把模型推理服务和日志采集服务分开部署，便于限流和审计；第四，对每个业务角色单独校准阈值，避免把研发、运维、办公、自动化任务混成一个阈值；第五，记录模型版本、配置哈希、阈值来源和告警处置结果，形成可追责审计；第六，持续监控漂移、误报和漏报，把人工复核反馈纳入再训练计划。当前参赛版本默认只做本机演示，不声称已经完成生产级治理。</w:t>
      </w:r>
    </w:p>
    <w:p w14:paraId="5C2D334F">
      <w:pPr>
        <w:autoSpaceDE w:val="0"/>
        <w:autoSpaceDN w:val="0"/>
        <w:adjustRightInd w:val="0"/>
        <w:spacing w:line="360" w:lineRule="auto"/>
        <w:rPr>
          <w:rFonts w:ascii="宋体" w:hAnsi="宋体" w:cs="DFKai-SB"/>
          <w:bCs/>
          <w:sz w:val="24"/>
        </w:rPr>
        <w:sectPr>
          <w:pgSz w:w="11906" w:h="16838"/>
          <w:pgMar w:top="1440" w:right="1466" w:bottom="1440" w:left="1620" w:header="851" w:footer="992" w:gutter="0"/>
          <w:cols w:space="425" w:num="1"/>
          <w:docGrid w:type="lines" w:linePitch="312" w:charSpace="0"/>
        </w:sectPr>
      </w:pPr>
    </w:p>
    <w:p w14:paraId="2C04EB3F">
      <w:pPr>
        <w:pStyle w:val="2"/>
        <w:jc w:val="center"/>
        <w:rPr>
          <w:rFonts w:ascii="黑体" w:eastAsia="黑体"/>
          <w:sz w:val="32"/>
          <w:szCs w:val="32"/>
        </w:rPr>
      </w:pPr>
      <w:bookmarkStart w:id="3" w:name="_Toc33965496"/>
      <w:r>
        <w:rPr>
          <w:rFonts w:hint="eastAsia" w:ascii="黑体" w:eastAsia="黑体"/>
          <w:sz w:val="32"/>
          <w:szCs w:val="32"/>
        </w:rPr>
        <w:t>第三章 作品测试与分析</w:t>
      </w:r>
      <w:bookmarkEnd w:id="3"/>
    </w:p>
    <w:p>
      <w:pPr>
        <w:pStyle w:val="Heading2"/>
        <w:spacing w:before="240" w:after="120"/>
        <w:jc w:val="left"/>
      </w:pPr>
      <w:r>
        <w:rPr>
          <w:rFonts w:ascii="黑体" w:hAnsi="黑体" w:eastAsia="黑体"/>
          <w:b/>
          <w:sz w:val="28"/>
        </w:rPr>
        <w:t>3.1 测试原则</w:t>
      </w:r>
    </w:p>
    <w:p>
      <w:pPr>
        <w:spacing w:line="360" w:lineRule="auto" w:before="0" w:after="0"/>
        <w:ind w:firstLine="420"/>
        <w:jc w:val="both"/>
      </w:pPr>
      <w:r>
        <w:rPr>
          <w:rFonts w:ascii="Times New Roman" w:hAnsi="Times New Roman" w:eastAsia="宋体"/>
          <w:sz w:val="24"/>
        </w:rPr>
        <w:t>测试分为单元测试、端到端烟测、数据质量测试、模型对比、性能测试和材料验收。数据按实体、时间和场景模板隔离，避免同一模板随机分配到训练与测试造成泄漏。测试集包含高风险正常行为、失败操作、顺序扰动、未知对象和留出异常场景。</w:t>
      </w:r>
    </w:p>
    <w:p>
      <w:pPr>
        <w:pStyle w:val="Heading2"/>
        <w:spacing w:before="240" w:after="120"/>
        <w:jc w:val="left"/>
      </w:pPr>
      <w:r>
        <w:rPr>
          <w:rFonts w:ascii="黑体" w:hAnsi="黑体" w:eastAsia="黑体"/>
          <w:b/>
          <w:sz w:val="28"/>
        </w:rPr>
        <w:t>3.2 分层工程基准结果</w:t>
      </w:r>
    </w:p>
    <w:tbl>
      <w:tblPr>
        <w:tblW w:type="dxa" w:w="8505"/>
        <w:jc w:val="center"/>
        <w:tblLayout w:type="fixed"/>
        <w:tblLook w:firstColumn="1" w:firstRow="1" w:lastColumn="0" w:lastRow="0" w:noHBand="0" w:noVBand="1" w:val="04A0"/>
        <w:tblInd w:type="dxa" w:w="120"/>
        <w:tblBorders>
          <w:top w:val="single" w:sz="4" w:color="808080"/>
          <w:left w:val="single" w:sz="4" w:color="808080"/>
          <w:bottom w:val="single" w:sz="4" w:color="808080"/>
          <w:right w:val="single" w:sz="4" w:color="808080"/>
          <w:insideH w:val="single" w:sz="4" w:color="808080"/>
          <w:insideV w:val="single" w:sz="4" w:color="808080"/>
        </w:tblBorders>
      </w:tblPr>
      <w:tblGrid>
        <w:gridCol w:w="1764"/>
        <w:gridCol w:w="1764"/>
        <w:gridCol w:w="1764"/>
        <w:gridCol w:w="1764"/>
        <w:gridCol w:w="1764"/>
      </w:tblGrid>
      <w:tr>
        <w:trPr>
          <w:tblHeader w:val="true"/>
        </w:trPr>
        <w:tc>
          <w:tcPr>
            <w:tcW w:type="dxa" w:w="2721"/>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方法</w:t>
            </w:r>
          </w:p>
        </w:tc>
        <w:tc>
          <w:tcPr>
            <w:tcW w:type="dxa" w:w="1446"/>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检出率</w:t>
            </w:r>
          </w:p>
        </w:tc>
        <w:tc>
          <w:tcPr>
            <w:tcW w:type="dxa" w:w="1446"/>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误报率</w:t>
            </w:r>
          </w:p>
        </w:tc>
        <w:tc>
          <w:tcPr>
            <w:tcW w:type="dxa" w:w="1446"/>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F1</w:t>
            </w:r>
          </w:p>
        </w:tc>
        <w:tc>
          <w:tcPr>
            <w:tcW w:type="dxa" w:w="1446"/>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ROC-AUC</w:t>
            </w:r>
          </w:p>
        </w:tc>
      </w:tr>
      <w:tr>
        <w:tc>
          <w:tcPr>
            <w:tcW w:type="dxa" w:w="2721"/>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异常专属词元查表</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0.00%</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0.00%</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0.000</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0.500</w:t>
            </w:r>
          </w:p>
        </w:tc>
      </w:tr>
      <w:tr>
        <w:tc>
          <w:tcPr>
            <w:tcW w:type="dxa" w:w="2721"/>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Transformer 单模型</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65.00%</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15.33%</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0.616</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0.834</w:t>
            </w:r>
          </w:p>
        </w:tc>
      </w:tr>
      <w:tr>
        <w:tc>
          <w:tcPr>
            <w:tcW w:type="dxa" w:w="2721"/>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透明顺序规则</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84.00%</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0.00%</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0.913</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0.920</w:t>
            </w:r>
          </w:p>
        </w:tc>
      </w:tr>
      <w:tr>
        <w:tc>
          <w:tcPr>
            <w:tcW w:type="dxa" w:w="2721"/>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实际混合告警链路</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97.00%</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15.33%</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0.7984</w:t>
            </w:r>
          </w:p>
        </w:tc>
        <w:tc>
          <w:tcPr>
            <w:tcW w:type="dxa" w:w="1446"/>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0.9708</w:t>
            </w:r>
          </w:p>
        </w:tc>
      </w:tr>
    </w:tbl>
    <w:p>
      <w:pPr>
        <w:spacing w:after="60"/>
      </w:pPr>
    </w:p>
    <w:p>
      <w:pPr>
        <w:spacing w:line="360" w:lineRule="auto" w:before="0" w:after="0"/>
        <w:ind w:firstLine="420"/>
        <w:jc w:val="both"/>
      </w:pPr>
      <w:r>
        <w:rPr>
          <w:rFonts w:ascii="Times New Roman" w:hAnsi="Times New Roman" w:eastAsia="宋体"/>
          <w:sz w:val="24"/>
        </w:rPr>
        <w:t>混合链路的精确率为 67.83%。查表基线无法检出异常，说明困难正常样本消除了“只要出现某个危险词元就是异常”的简单捷径。规则在当前模板化场景中很强，Transformer 则提供连续上下文分数。97% 是 Transformer 与透明顺序规则联合后的混合系统结果，不是 Transformer 单模型结果。</w:t>
      </w:r>
    </w:p>
    <w:p>
      <w:pPr>
        <w:spacing w:line="360" w:lineRule="auto" w:before="0" w:after="0"/>
        <w:ind w:firstLine="420"/>
        <w:jc w:val="both"/>
      </w:pPr>
      <w:r>
        <w:rPr>
          <w:rFonts w:ascii="Times New Roman" w:hAnsi="Times New Roman" w:eastAsia="宋体"/>
          <w:sz w:val="24"/>
        </w:rPr>
        <w:t>Recall 97.00%、F1 0.798 和误报率 15.33% 并不矛盾：系统按安全侧目标优先减少漏报，100 个异常序列中检出 97 个，但同时把 46 个正常序列判为异常，使精确率只有 67.83%，因此 F1 低于 Recall。该取舍适合工程验证阶段的“先发现、再复核”，真实部署仍需按角色、业务场景和人工处置成本重新校准阈值。</w:t>
      </w:r>
    </w:p>
    <w:tbl>
      <w:tblPr>
        <w:tblW w:type="dxa" w:w="8505"/>
        <w:jc w:val="center"/>
        <w:tblLayout w:type="fixed"/>
        <w:tblLook w:firstColumn="1" w:firstRow="1" w:lastColumn="0" w:lastRow="0" w:noHBand="0" w:noVBand="1" w:val="04A0"/>
        <w:tblInd w:type="dxa" w:w="120"/>
        <w:tblBorders>
          <w:top w:val="single" w:sz="4" w:color="808080"/>
          <w:left w:val="single" w:sz="4" w:color="808080"/>
          <w:bottom w:val="single" w:sz="4" w:color="808080"/>
          <w:right w:val="single" w:sz="4" w:color="808080"/>
          <w:insideH w:val="single" w:sz="4" w:color="808080"/>
          <w:insideV w:val="single" w:sz="4" w:color="808080"/>
        </w:tblBorders>
      </w:tblPr>
      <w:tblGrid>
        <w:gridCol w:w="4410"/>
        <w:gridCol w:w="4410"/>
      </w:tblGrid>
      <w:tr>
        <w:trPr>
          <w:tblHeader w:val="true"/>
        </w:trPr>
        <w:tc>
          <w:tcPr>
            <w:tcW w:type="dxa" w:w="5102"/>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性能项</w:t>
            </w:r>
          </w:p>
        </w:tc>
        <w:tc>
          <w:tcPr>
            <w:tcW w:type="dxa" w:w="3402"/>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当前工程基准</w:t>
            </w:r>
          </w:p>
        </w:tc>
      </w:tr>
      <w:tr>
        <w:tc>
          <w:tcPr>
            <w:tcW w:type="dxa" w:w="5102"/>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平均批量折算延迟</w:t>
            </w:r>
          </w:p>
        </w:tc>
        <w:tc>
          <w:tcPr>
            <w:tcW w:type="dxa" w:w="3402"/>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0.089 ms/序列</w:t>
            </w:r>
          </w:p>
        </w:tc>
      </w:tr>
      <w:tr>
        <w:tc>
          <w:tcPr>
            <w:tcW w:type="dxa" w:w="5102"/>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吞吐率</w:t>
            </w:r>
          </w:p>
        </w:tc>
        <w:tc>
          <w:tcPr>
            <w:tcW w:type="dxa" w:w="3402"/>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11284.0 序列/秒</w:t>
            </w:r>
          </w:p>
        </w:tc>
      </w:tr>
      <w:tr>
        <w:tc>
          <w:tcPr>
            <w:tcW w:type="dxa" w:w="5102"/>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模型文件</w:t>
            </w:r>
          </w:p>
        </w:tc>
        <w:tc>
          <w:tcPr>
            <w:tcW w:type="dxa" w:w="3402"/>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0.303 MB</w:t>
            </w:r>
          </w:p>
        </w:tc>
      </w:tr>
      <w:tr>
        <w:tc>
          <w:tcPr>
            <w:tcW w:type="dxa" w:w="5102"/>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模型参数</w:t>
            </w:r>
          </w:p>
        </w:tc>
        <w:tc>
          <w:tcPr>
            <w:tcW w:type="dxa" w:w="3402"/>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67,522</w:t>
            </w:r>
          </w:p>
        </w:tc>
      </w:tr>
      <w:tr>
        <w:tc>
          <w:tcPr>
            <w:tcW w:type="dxa" w:w="5102"/>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测试序列</w:t>
            </w:r>
          </w:p>
        </w:tc>
        <w:tc>
          <w:tcPr>
            <w:tcW w:type="dxa" w:w="3402"/>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400</w:t>
            </w:r>
          </w:p>
        </w:tc>
      </w:tr>
    </w:tbl>
    <w:p>
      <w:pPr>
        <w:spacing w:after="60"/>
      </w:pPr>
    </w:p>
    <w:p>
      <w:pPr>
        <w:spacing w:line="360" w:lineRule="auto" w:before="0" w:after="0"/>
        <w:ind w:firstLine="420"/>
        <w:jc w:val="both"/>
      </w:pPr>
      <w:r>
        <w:rPr>
          <w:rFonts w:ascii="Times New Roman" w:hAnsi="Times New Roman" w:eastAsia="宋体"/>
          <w:sz w:val="24"/>
        </w:rPr>
        <w:t>上述数字只描述随包自建工程基准。模型计时不包含文件读取、规则计算、解释生成和网络传输，因此真实服务延迟应另行测量。</w:t>
      </w:r>
    </w:p>
    <w:p>
      <w:pPr>
        <w:spacing w:before="120"/>
        <w:jc w:val="center"/>
      </w:pPr>
      <w:r>
        <w:drawing>
          <wp:inline xmlns:a="http://schemas.openxmlformats.org/drawingml/2006/main" xmlns:pic="http://schemas.openxmlformats.org/drawingml/2006/picture">
            <wp:extent cx="5400000" cy="4841379"/>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8"/>
                    <a:stretch>
                      <a:fillRect/>
                    </a:stretch>
                  </pic:blipFill>
                  <pic:spPr>
                    <a:xfrm>
                      <a:off x="0" y="0"/>
                      <a:ext cx="5400000" cy="4841379"/>
                    </a:xfrm>
                    <a:prstGeom prst="rect"/>
                  </pic:spPr>
                </pic:pic>
              </a:graphicData>
            </a:graphic>
          </wp:inline>
        </w:drawing>
      </w:r>
    </w:p>
    <w:p>
      <w:pPr>
        <w:spacing w:before="60" w:after="120"/>
        <w:jc w:val="center"/>
      </w:pPr>
      <w:r>
        <w:rPr>
          <w:rFonts w:ascii="Times New Roman" w:hAnsi="Times New Roman" w:eastAsia="宋体"/>
          <w:sz w:val="21"/>
        </w:rPr>
        <w:t>图 2  混合系统混淆矩阵</w:t>
      </w:r>
    </w:p>
    <w:p>
      <w:pPr>
        <w:spacing w:before="120"/>
        <w:jc w:val="center"/>
      </w:pPr>
      <w:r>
        <w:drawing>
          <wp:inline xmlns:a="http://schemas.openxmlformats.org/drawingml/2006/main" xmlns:pic="http://schemas.openxmlformats.org/drawingml/2006/picture">
            <wp:extent cx="5400000" cy="2880000"/>
            <wp:docPr id="3" name="Picture 3"/>
            <wp:cNvGraphicFramePr>
              <a:graphicFrameLocks noChangeAspect="1"/>
            </wp:cNvGraphicFramePr>
            <a:graphic>
              <a:graphicData uri="http://schemas.openxmlformats.org/drawingml/2006/picture">
                <pic:pic>
                  <pic:nvPicPr>
                    <pic:cNvPr id="0" name="scenario_detection_rate.png"/>
                    <pic:cNvPicPr/>
                  </pic:nvPicPr>
                  <pic:blipFill>
                    <a:blip r:embed="rId9"/>
                    <a:stretch>
                      <a:fillRect/>
                    </a:stretch>
                  </pic:blipFill>
                  <pic:spPr>
                    <a:xfrm>
                      <a:off x="0" y="0"/>
                      <a:ext cx="5400000" cy="2880000"/>
                    </a:xfrm>
                    <a:prstGeom prst="rect"/>
                  </pic:spPr>
                </pic:pic>
              </a:graphicData>
            </a:graphic>
          </wp:inline>
        </w:drawing>
      </w:r>
    </w:p>
    <w:p>
      <w:pPr>
        <w:spacing w:before="60" w:after="120"/>
        <w:jc w:val="center"/>
      </w:pPr>
      <w:r>
        <w:rPr>
          <w:rFonts w:ascii="Times New Roman" w:hAnsi="Times New Roman" w:eastAsia="宋体"/>
          <w:sz w:val="21"/>
        </w:rPr>
        <w:t>图 3  各异常场景检出覆盖率</w:t>
      </w:r>
    </w:p>
    <w:p>
      <w:pPr>
        <w:pStyle w:val="Heading2"/>
        <w:spacing w:before="240" w:after="120"/>
        <w:jc w:val="left"/>
      </w:pPr>
      <w:r>
        <w:rPr>
          <w:rFonts w:ascii="黑体" w:hAnsi="黑体" w:eastAsia="黑体"/>
          <w:b/>
          <w:sz w:val="28"/>
        </w:rPr>
        <w:t>3.3 误报、漏报与场景分析</w:t>
      </w:r>
    </w:p>
    <w:p>
      <w:pPr>
        <w:spacing w:line="360" w:lineRule="auto" w:before="0" w:after="0"/>
        <w:ind w:firstLine="420"/>
        <w:jc w:val="both"/>
      </w:pPr>
      <w:r>
        <w:rPr>
          <w:rFonts w:ascii="Times New Roman" w:hAnsi="Times New Roman" w:eastAsia="宋体"/>
          <w:sz w:val="24"/>
        </w:rPr>
        <w:t>混合系统产生 46 个误报和 3 个漏报。误报全部继承自 Transformer 单模型，主要来自含高风险动作但顺序无害的管理员型正常序列，以及异常分数接近阈值的未知对象组合；顺序规则没有额外制造误报。后续可按角色分别校准阈值，并增加更多合法工具链轨迹。</w:t>
      </w:r>
    </w:p>
    <w:p>
      <w:pPr>
        <w:spacing w:line="360" w:lineRule="auto" w:before="0" w:after="0"/>
        <w:ind w:firstLine="420"/>
        <w:jc w:val="both"/>
      </w:pPr>
      <w:r>
        <w:rPr>
          <w:rFonts w:ascii="Times New Roman" w:hAnsi="Times New Roman" w:eastAsia="宋体"/>
          <w:sz w:val="24"/>
        </w:rPr>
        <w:t>横向移动模板完全从训练和验证异常中留出，Transformer 单模型检出率为 0，透明规则通过“网络扫描→远程启动”的顺序链实现覆盖。该结果表明当前模型尚不能支撑“未知攻击泛化”结论；混合设计通过显式规则弥补了已知关键链，但仍需要更多留一场景和真实轨迹验证。其余 3 个漏报来自凭据访问场景，原因是混合分数仍低于验证集阈值。</w:t>
      </w:r>
    </w:p>
    <w:p>
      <w:pPr>
        <w:pStyle w:val="Heading2"/>
        <w:spacing w:before="240" w:after="120"/>
        <w:jc w:val="left"/>
      </w:pPr>
      <w:r>
        <w:rPr>
          <w:rFonts w:ascii="黑体" w:hAnsi="黑体" w:eastAsia="黑体"/>
          <w:b/>
          <w:sz w:val="28"/>
        </w:rPr>
        <w:t>3.4 性能与稳定性</w:t>
      </w:r>
    </w:p>
    <w:p>
      <w:pPr>
        <w:spacing w:line="360" w:lineRule="auto" w:before="0" w:after="0"/>
        <w:ind w:firstLine="420"/>
        <w:jc w:val="both"/>
      </w:pPr>
      <w:r>
        <w:rPr>
          <w:rFonts w:ascii="Times New Roman" w:hAnsi="Times New Roman" w:eastAsia="宋体"/>
          <w:sz w:val="24"/>
        </w:rPr>
        <w:t>性能测试记录 Python、PyTorch、NumPy、操作系统和处理器信息，区分单条和批量推理，并报告预热后的 P50、P95、P99 延迟、吞吐、峰值内存和完整文件处理时间。一键脚本对每个子进程检查退出码；任何训练、测试、材料或打包步骤失败都会终止流水线。</w:t>
      </w:r>
    </w:p>
    <w:p>
      <w:pPr>
        <w:pStyle w:val="Heading2"/>
        <w:spacing w:before="240" w:after="120"/>
        <w:jc w:val="left"/>
      </w:pPr>
      <w:r>
        <w:rPr>
          <w:rFonts w:ascii="黑体" w:hAnsi="黑体" w:eastAsia="黑体"/>
          <w:b/>
          <w:sz w:val="28"/>
        </w:rPr>
        <w:t>3.5 已知限制</w:t>
      </w:r>
    </w:p>
    <w:p>
      <w:pPr>
        <w:spacing w:line="360" w:lineRule="auto" w:before="0" w:after="0"/>
        <w:ind w:firstLine="420"/>
        <w:jc w:val="both"/>
      </w:pPr>
      <w:r>
        <w:rPr>
          <w:rFonts w:ascii="Times New Roman" w:hAnsi="Times New Roman" w:eastAsia="宋体"/>
          <w:sz w:val="24"/>
        </w:rPr>
        <w:t>自建数据无法覆盖真实组织中的全部工具、权限和业务流程；模型对未知厂商字段仍依赖适配器；注意力与惊异度只能提供辅助解释；受控真实轨迹需要参赛学生在合法环境中亲自采集。作品将这些限制作为后续验证边界，而不是用合成高分替代真实部署结论。</w:t>
      </w:r>
    </w:p>
    <w:p>
      <w:pPr>
        <w:pStyle w:val="Heading2"/>
        <w:spacing w:before="240" w:after="120"/>
        <w:jc w:val="left"/>
      </w:pPr>
      <w:r>
        <w:rPr>
          <w:rFonts w:ascii="黑体" w:hAnsi="黑体" w:eastAsia="黑体"/>
          <w:b/>
          <w:sz w:val="28"/>
        </w:rPr>
        <w:t>3.6 上传日志演示验证</w:t>
      </w:r>
    </w:p>
    <w:p>
      <w:pPr>
        <w:spacing w:line="360" w:lineRule="auto" w:before="0" w:after="0"/>
        <w:ind w:firstLine="420"/>
        <w:jc w:val="both"/>
      </w:pPr>
      <w:r>
        <w:rPr>
          <w:rFonts w:ascii="Times New Roman" w:hAnsi="Times New Roman" w:eastAsia="宋体"/>
          <w:sz w:val="24"/>
        </w:rPr>
        <w:t>最终版本对四个 .log 演示文件进行了逐个上传验证，验证目标不是重新计算论文式准确率，而是确认“可上传、可自动识别、可形成不同输出、可切换文件”。结果如下表所示。</w:t>
      </w:r>
    </w:p>
    <w:tbl>
      <w:tblPr>
        <w:tblW w:type="dxa" w:w="8505"/>
        <w:jc w:val="center"/>
        <w:tblLayout w:type="fixed"/>
        <w:tblLook w:firstColumn="1" w:firstRow="1" w:lastColumn="0" w:lastRow="0" w:noHBand="0" w:noVBand="1" w:val="04A0"/>
        <w:tblInd w:type="dxa" w:w="120"/>
        <w:tblBorders>
          <w:top w:val="single" w:sz="4" w:color="808080"/>
          <w:left w:val="single" w:sz="4" w:color="808080"/>
          <w:bottom w:val="single" w:sz="4" w:color="808080"/>
          <w:right w:val="single" w:sz="4" w:color="808080"/>
          <w:insideH w:val="single" w:sz="4" w:color="808080"/>
          <w:insideV w:val="single" w:sz="4" w:color="808080"/>
        </w:tblBorders>
      </w:tblPr>
      <w:tblGrid>
        <w:gridCol w:w="1470"/>
        <w:gridCol w:w="1470"/>
        <w:gridCol w:w="1470"/>
        <w:gridCol w:w="1470"/>
        <w:gridCol w:w="1470"/>
        <w:gridCol w:w="1470"/>
      </w:tblGrid>
      <w:tr>
        <w:trPr>
          <w:tblHeader w:val="true"/>
        </w:trPr>
        <w:tc>
          <w:tcPr>
            <w:tcW w:type="dxa" w:w="1417"/>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上传文件</w:t>
            </w:r>
          </w:p>
        </w:tc>
        <w:tc>
          <w:tcPr>
            <w:tcW w:type="dxa" w:w="1417"/>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来源含义</w:t>
            </w:r>
          </w:p>
        </w:tc>
        <w:tc>
          <w:tcPr>
            <w:tcW w:type="dxa" w:w="1417"/>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自动识别解析器</w:t>
            </w:r>
          </w:p>
        </w:tc>
        <w:tc>
          <w:tcPr>
            <w:tcW w:type="dxa" w:w="1417"/>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解析事件数</w:t>
            </w:r>
          </w:p>
        </w:tc>
        <w:tc>
          <w:tcPr>
            <w:tcW w:type="dxa" w:w="1417"/>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告警窗口数</w:t>
            </w:r>
          </w:p>
        </w:tc>
        <w:tc>
          <w:tcPr>
            <w:tcW w:type="dxa" w:w="1417"/>
            <w:vAlign w:val="center"/>
            <w:tcMar>
              <w:top w:w="100" w:type="dxa"/>
              <w:left w:w="120" w:type="dxa"/>
              <w:bottom w:w="100" w:type="dxa"/>
              <w:right w:w="120" w:type="dxa"/>
            </w:tcMar>
            <w:shd w:fill="E7EEF8"/>
          </w:tcPr>
          <w:p>
            <w:pPr>
              <w:spacing w:line="288" w:lineRule="auto" w:before="0" w:after="0"/>
              <w:jc w:val="center"/>
            </w:pPr>
            <w:r>
              <w:rPr>
                <w:rFonts w:ascii="Times New Roman" w:hAnsi="Times New Roman" w:eastAsia="宋体"/>
                <w:b/>
                <w:sz w:val="21"/>
              </w:rPr>
              <w:t>公开标签异常数</w:t>
            </w:r>
          </w:p>
        </w:tc>
      </w:tr>
      <w:tr>
        <w:tc>
          <w:tcPr>
            <w:tcW w:type="dxa" w:w="1417"/>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01publicbglanomaly.log</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Loghub BGL 公开系统异常日志</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loghubbgl</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800</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6</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94</w:t>
            </w:r>
          </w:p>
        </w:tc>
      </w:tr>
      <w:tr>
        <w:tc>
          <w:tcPr>
            <w:tcW w:type="dxa" w:w="1417"/>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02controlledsecuritychain.log</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隔离环境可控异常行为链</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agentguardjsonl</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12</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1</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6</w:t>
            </w:r>
          </w:p>
        </w:tc>
      </w:tr>
      <w:tr>
        <w:tc>
          <w:tcPr>
            <w:tcW w:type="dxa" w:w="1417"/>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03localnormalsnapshot.log</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本机正常行为快照</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agentguardjsonl</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90</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0</w:t>
            </w:r>
          </w:p>
        </w:tc>
      </w:tr>
      <w:tr>
        <w:tc>
          <w:tcPr>
            <w:tcW w:type="dxa" w:w="1417"/>
            <w:vAlign w:val="center"/>
            <w:tcMar>
              <w:top w:w="100" w:type="dxa"/>
              <w:left w:w="120" w:type="dxa"/>
              <w:bottom w:w="100" w:type="dxa"/>
              <w:right w:w="120" w:type="dxa"/>
            </w:tcMar>
          </w:tcPr>
          <w:p>
            <w:pPr>
              <w:spacing w:line="288" w:lineRule="auto" w:before="0" w:after="0"/>
              <w:jc w:val="left"/>
            </w:pPr>
            <w:r>
              <w:rPr>
                <w:rFonts w:ascii="Times New Roman" w:hAnsi="Times New Roman" w:eastAsia="宋体"/>
                <w:b w:val="0"/>
                <w:sz w:val="21"/>
              </w:rPr>
              <w:t>04demomixeddataset.log</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自建混合工程测试日志</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agentguardjsonl</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800</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32</w:t>
            </w:r>
          </w:p>
        </w:tc>
        <w:tc>
          <w:tcPr>
            <w:tcW w:type="dxa" w:w="1417"/>
            <w:vAlign w:val="center"/>
            <w:tcMar>
              <w:top w:w="100" w:type="dxa"/>
              <w:left w:w="120" w:type="dxa"/>
              <w:bottom w:w="100" w:type="dxa"/>
              <w:right w:w="120" w:type="dxa"/>
            </w:tcMar>
          </w:tcPr>
          <w:p>
            <w:pPr>
              <w:spacing w:line="288" w:lineRule="auto" w:before="0" w:after="0"/>
              <w:jc w:val="center"/>
            </w:pPr>
            <w:r>
              <w:rPr>
                <w:rFonts w:ascii="Times New Roman" w:hAnsi="Times New Roman" w:eastAsia="宋体"/>
                <w:b w:val="0"/>
                <w:sz w:val="21"/>
              </w:rPr>
              <w:t>106</w:t>
            </w:r>
          </w:p>
        </w:tc>
      </w:tr>
    </w:tbl>
    <w:p>
      <w:pPr>
        <w:spacing w:after="60"/>
      </w:pPr>
    </w:p>
    <w:p>
      <w:pPr>
        <w:spacing w:line="360" w:lineRule="auto" w:before="0" w:after="0"/>
        <w:ind w:firstLine="420"/>
        <w:jc w:val="both"/>
      </w:pPr>
      <w:r>
        <w:rPr>
          <w:rFonts w:ascii="Times New Roman" w:hAnsi="Times New Roman" w:eastAsia="宋体"/>
          <w:sz w:val="24"/>
        </w:rPr>
        <w:t>这四个结果对答辩很重要。第一，正常日志和异常日志的输出不同，说明页面不是固定展示同一批告警。第二，BGL 使用的是公开原始 .log 格式，解析器不是 agentguardjsonl，说明系统具备非结构化公共日志接入能力。第三，可控异常日志只有 12 条事件但能形成一条明确异常链，适合展示“为什么告警”；混合测试日志事件更多，适合展示系统在多实体、多窗口场景下的批量分析能力。第四，页面支持上传后再次点击“更换日志”，前一个文件的结果会被新结果替换，便于评委连续核验。</w:t>
      </w:r>
    </w:p>
    <w:p>
      <w:pPr>
        <w:pStyle w:val="Heading2"/>
        <w:spacing w:before="240" w:after="120"/>
        <w:jc w:val="left"/>
      </w:pPr>
      <w:r>
        <w:rPr>
          <w:rFonts w:ascii="黑体" w:hAnsi="黑体" w:eastAsia="黑体"/>
          <w:b/>
          <w:sz w:val="28"/>
        </w:rPr>
        <w:t>3.7 真实验证计划</w:t>
      </w:r>
    </w:p>
    <w:p>
      <w:pPr>
        <w:spacing w:line="360" w:lineRule="auto" w:before="0" w:after="0"/>
        <w:ind w:firstLine="420"/>
        <w:jc w:val="both"/>
      </w:pPr>
      <w:r>
        <w:rPr>
          <w:rFonts w:ascii="Times New Roman" w:hAnsi="Times New Roman" w:eastAsia="宋体"/>
          <w:sz w:val="24"/>
        </w:rPr>
        <w:t>如果比赛进入后续阶段，最优先的真实验证不是扩大合成数据，而是采集授权环境中的三类轨迹。第一类是 Agent trace，可以从 Langfuse、Phoenix、OpenLLMetry 或 AgentOps 导出模型调用、工具调用、span 状态和会话标识，映射为 source=agent 事件。第二类是主机遥测，可以从 osquery、Wazuh、Falco 或系统审计日志导出进程启动、文件读写、网络连接和规则命中，映射为 source=host 事件。第三类是公共或开放安全数据，如 Loghub、CERT Insider Threat、LANL Cyber Security Science Data 或 DARPA OpTC，用于验证格式接入、实体切分和大规模流式处理。</w:t>
      </w:r>
    </w:p>
    <w:p>
      <w:pPr>
        <w:spacing w:line="360" w:lineRule="auto" w:before="0" w:after="0"/>
        <w:ind w:firstLine="420"/>
        <w:jc w:val="both"/>
      </w:pPr>
      <w:r>
        <w:rPr>
          <w:rFonts w:ascii="Times New Roman" w:hAnsi="Times New Roman" w:eastAsia="宋体"/>
          <w:sz w:val="24"/>
        </w:rPr>
        <w:t>真实验证应遵守四条原则。第一，数据必须授权采集并完成脱敏；命令行、用户身份、密钥、Cookie、完整路径和远端 IP 都不能直接进入提交材料。第二，训练、验证和测试要按实体和时间隔离，避免同一用户、同一 Agent 或同一模板同时出现在训练和测试中。第三，真实结果必须和自建工程基准分表呈现，不把工程基准 97% 与公共日志上传结果混成一个总分。第四，阈值只能在验证集上校准，不能根据测试集回调。只有经过这些步骤，系统才能从“可运行参赛原型”推进为“有外部有效性证据的安全检测系统”。</w:t>
      </w:r>
    </w:p>
    <w:p w14:paraId="7EEAAD28">
      <w:pPr>
        <w:autoSpaceDE w:val="0"/>
        <w:autoSpaceDN w:val="0"/>
        <w:adjustRightInd w:val="0"/>
        <w:spacing w:line="360" w:lineRule="auto"/>
        <w:rPr>
          <w:rFonts w:ascii="宋体" w:hAnsi="宋体" w:cs="DFKai-SB"/>
          <w:bCs/>
          <w:sz w:val="24"/>
        </w:rPr>
        <w:sectPr>
          <w:pgSz w:w="11906" w:h="16838"/>
          <w:pgMar w:top="1440" w:right="1466" w:bottom="1440" w:left="1620" w:header="851" w:footer="992" w:gutter="0"/>
          <w:cols w:space="425" w:num="1"/>
          <w:docGrid w:type="lines" w:linePitch="312" w:charSpace="0"/>
        </w:sectPr>
      </w:pPr>
    </w:p>
    <w:p w14:paraId="2C04EB47">
      <w:pPr>
        <w:pStyle w:val="2"/>
        <w:jc w:val="center"/>
        <w:rPr>
          <w:rFonts w:ascii="黑体" w:eastAsia="黑体"/>
          <w:sz w:val="32"/>
          <w:szCs w:val="32"/>
        </w:rPr>
      </w:pPr>
      <w:bookmarkStart w:id="4" w:name="_Toc33965497"/>
      <w:r>
        <w:rPr>
          <w:rFonts w:hint="eastAsia" w:ascii="黑体" w:eastAsia="黑体"/>
          <w:sz w:val="32"/>
          <w:szCs w:val="32"/>
        </w:rPr>
        <w:t>第四章 创新性说明</w:t>
      </w:r>
      <w:bookmarkEnd w:id="4"/>
    </w:p>
    <w:p>
      <w:pPr>
        <w:spacing w:line="360" w:lineRule="auto" w:before="0" w:after="0"/>
        <w:ind w:firstLine="420"/>
        <w:jc w:val="both"/>
      </w:pPr>
      <w:r>
        <w:rPr>
          <w:rFonts w:ascii="Times New Roman" w:hAnsi="Times New Roman" w:eastAsia="宋体"/>
          <w:sz w:val="24"/>
        </w:rPr>
        <w:t>本作品不是把通用日志异常检测与规则系统简单并列，而是围绕 AI Agent 执行链设计统一数据表示、双来源证据和防捷径验证。三项核心创新分别对应“检测对象、决策证据和实验可信度”。</w:t>
      </w:r>
    </w:p>
    <w:p>
      <w:pPr>
        <w:pStyle w:val="Heading2"/>
        <w:spacing w:before="240" w:after="120"/>
        <w:jc w:val="left"/>
      </w:pPr>
      <w:r>
        <w:rPr>
          <w:rFonts w:ascii="黑体" w:hAnsi="黑体" w:eastAsia="黑体"/>
          <w:b/>
          <w:sz w:val="28"/>
        </w:rPr>
        <w:t>4.1 Agent 与主机双域联合建模</w:t>
      </w:r>
    </w:p>
    <w:p>
      <w:pPr>
        <w:spacing w:line="360" w:lineRule="auto" w:before="0" w:after="0"/>
        <w:ind w:firstLine="420"/>
        <w:jc w:val="both"/>
      </w:pPr>
      <w:r>
        <w:rPr>
          <w:rFonts w:ascii="Times New Roman" w:hAnsi="Times New Roman" w:eastAsia="宋体"/>
          <w:sz w:val="24"/>
        </w:rPr>
        <w:t>作品把 Agent 的输入、规划、工具、记忆和权限事件与主机进程、网络、文件、注册表遥测统一到同一序列，使提示注入后的工具调用与主机影响能够在一条证据链中关联。</w:t>
      </w:r>
    </w:p>
    <w:p>
      <w:pPr>
        <w:pStyle w:val="Heading2"/>
        <w:spacing w:before="240" w:after="120"/>
        <w:jc w:val="left"/>
      </w:pPr>
      <w:r>
        <w:rPr>
          <w:rFonts w:ascii="黑体" w:hAnsi="黑体" w:eastAsia="黑体"/>
          <w:b/>
          <w:sz w:val="28"/>
        </w:rPr>
        <w:t>4.2 模型分数与透明安全规则双证据融合</w:t>
      </w:r>
    </w:p>
    <w:p>
      <w:pPr>
        <w:spacing w:line="360" w:lineRule="auto" w:before="0" w:after="0"/>
        <w:ind w:firstLine="420"/>
        <w:jc w:val="both"/>
      </w:pPr>
      <w:r>
        <w:rPr>
          <w:rFonts w:ascii="Times New Roman" w:hAnsi="Times New Roman" w:eastAsia="宋体"/>
          <w:sz w:val="24"/>
        </w:rPr>
        <w:t>系统同时学习窗口异常分类和下一事件预测，并把模型异常分数与具有严格顺序约束的透明安全规则分数分别保存、共同决策。告警进一步展示行为惊异度、关键事件贡献和规则命中，使评审能够区分“模型发现的上下文偏差”和“规则确认的明确攻击链”，不把自然语言说明伪装成模型直接推理出的因果结论。</w:t>
      </w:r>
    </w:p>
    <w:p>
      <w:pPr>
        <w:pStyle w:val="Heading2"/>
        <w:spacing w:before="240" w:after="120"/>
        <w:jc w:val="left"/>
      </w:pPr>
      <w:r>
        <w:rPr>
          <w:rFonts w:ascii="黑体" w:hAnsi="黑体" w:eastAsia="黑体"/>
          <w:b/>
          <w:sz w:val="28"/>
        </w:rPr>
        <w:t>4.3 面向 AI Agent 安全的困难负样本与场景留出</w:t>
      </w:r>
    </w:p>
    <w:p>
      <w:pPr>
        <w:spacing w:line="360" w:lineRule="auto" w:before="0" w:after="0"/>
        <w:ind w:firstLine="420"/>
        <w:jc w:val="both"/>
      </w:pPr>
      <w:r>
        <w:rPr>
          <w:rFonts w:ascii="Times New Roman" w:hAnsi="Times New Roman" w:eastAsia="宋体"/>
          <w:sz w:val="24"/>
        </w:rPr>
        <w:t>数据生成器主动加入与攻击共享危险词元但顺序无害的正常行为、失败操作和未知对象，并将横向移动异常模板从训练与验证中留出，配套查表基线、顺序规则和模型对照。创新点不仅是使用 Transformer，也包括用可复现的困难样本证明系统是否真正利用顺序和上下文，而不是记住危险关键词。</w:t>
      </w:r>
    </w:p>
    <w:p>
      <w:pPr>
        <w:pStyle w:val="Heading2"/>
        <w:spacing w:before="240" w:after="120"/>
        <w:jc w:val="left"/>
      </w:pPr>
      <w:r>
        <w:rPr>
          <w:rFonts w:ascii="黑体" w:hAnsi="黑体" w:eastAsia="黑体"/>
          <w:b/>
          <w:sz w:val="28"/>
        </w:rPr>
        <w:t>4.4 可离线交付</w:t>
      </w:r>
    </w:p>
    <w:p>
      <w:pPr>
        <w:spacing w:line="360" w:lineRule="auto" w:before="0" w:after="0"/>
        <w:ind w:firstLine="420"/>
        <w:jc w:val="both"/>
      </w:pPr>
      <w:r>
        <w:rPr>
          <w:rFonts w:ascii="Times New Roman" w:hAnsi="Times New Roman" w:eastAsia="宋体"/>
          <w:sz w:val="24"/>
        </w:rPr>
        <w:t>模型体量小，支持 CPU 推理；项目包含源码、配置、测试、模型、告警、图表、Web 演示、文档、清单和哈希。生成、运行和打包步骤相互分离，便于现场检查和复现。</w:t>
      </w:r>
    </w:p>
    <w:p>
      <w:pPr>
        <w:pStyle w:val="Heading2"/>
        <w:spacing w:before="240" w:after="120"/>
        <w:jc w:val="left"/>
      </w:pPr>
      <w:r>
        <w:rPr>
          <w:rFonts w:ascii="黑体" w:hAnsi="黑体" w:eastAsia="黑体"/>
          <w:b/>
          <w:sz w:val="28"/>
        </w:rPr>
        <w:t>4.5 与前沿论文和成熟工程的关系</w:t>
      </w:r>
    </w:p>
    <w:p>
      <w:pPr>
        <w:spacing w:line="360" w:lineRule="auto" w:before="0" w:after="0"/>
        <w:ind w:firstLine="420"/>
        <w:jc w:val="both"/>
      </w:pPr>
      <w:r>
        <w:rPr>
          <w:rFonts w:ascii="Times New Roman" w:hAnsi="Times New Roman" w:eastAsia="宋体"/>
          <w:sz w:val="24"/>
        </w:rPr>
        <w:t>AgentGuard 的设计参考了日志异常检测、时序异常检测、AI Agent 安全评测和安全运营工程四类成熟方向。DeepLog 说明了通过下一事件预测学习日志序列语法的可行性；LogBERT 和 Anomaly Transformer 说明了注意力结构可用于日志或时间序列异常建模；NIST AI RMF、NIST SP 800-92、MITRE ATT&amp;CK、MITRE ATLAS 和 OWASP LLM Top 10 为风险治理、日志保护、战术映射和 Agent 风险场景提供规范依据。项目没有照搬这些论文的指标，也不声称复现其全部算法，而是把它们转化为适合参赛工程的设计原则：序列化、可解释、可复现、可审计。</w:t>
      </w:r>
    </w:p>
    <w:p>
      <w:pPr>
        <w:spacing w:line="360" w:lineRule="auto" w:before="0" w:after="0"/>
        <w:ind w:firstLine="420"/>
        <w:jc w:val="both"/>
      </w:pPr>
      <w:r>
        <w:rPr>
          <w:rFonts w:ascii="Times New Roman" w:hAnsi="Times New Roman" w:eastAsia="宋体"/>
          <w:sz w:val="24"/>
        </w:rPr>
        <w:t>成熟 GitHub 工程方面，Langfuse、Phoenix、OpenLLMetry 和 AgentOps 可以作为 Agent 侧 trace 采集入口；osquery、Wazuh 和 Falco 可以作为主机侧进程、网络、文件和运行时规则来源；Drain3 与 LogPai 工具链可以把非结构化系统日志转成模板事件；Loglizer 可以提供 PCA、Isolation Forest、One-Class SVM 和 DeepLog 等强基线；Open Policy Agent 可以补充策略治理和阻断决策。AgentGuard 当前最有价值的位置不是替代这些工程，而是作为它们之后的“行为链检测和证据解释层”：前端工具负责采集，AgentGuard 负责把跨域事件串起来并输出可复核告警。</w:t>
      </w:r>
    </w:p>
    <w:p>
      <w:pPr>
        <w:spacing w:line="360" w:lineRule="auto" w:before="0" w:after="0"/>
        <w:ind w:firstLine="420"/>
        <w:jc w:val="both"/>
      </w:pPr>
      <w:r>
        <w:rPr>
          <w:rFonts w:ascii="Times New Roman" w:hAnsi="Times New Roman" w:eastAsia="宋体"/>
          <w:sz w:val="24"/>
        </w:rPr>
        <w:t>与上述方案相比，本项目的差距也很清楚。第一，真实 Agent trace 尚未大规模接入，当前主要是可复现工程基准与小样本真实格式验证。第二，模型基线还不够丰富，后续应加入 Loglizer 中的一类方法、LSTM DeepLog 和纯规则策略。第三，ATT&amp;CK 映射还停留在战术级，尚未细化到 technique ID。第四，解释验证还需要更多删除实验和人工复核结果。把这些差距写进报告并不是削弱作品，而是说明项目没有把原型包装成生产产品，符合安全比赛对诚实披露和可复现的要求。</w:t>
      </w:r>
    </w:p>
    <w:p w14:paraId="195BEA5E">
      <w:pPr>
        <w:autoSpaceDE w:val="0"/>
        <w:autoSpaceDN w:val="0"/>
        <w:adjustRightInd w:val="0"/>
        <w:spacing w:line="360" w:lineRule="auto"/>
        <w:rPr>
          <w:rFonts w:ascii="宋体" w:hAnsi="宋体" w:cs="DFKai-SB"/>
          <w:bCs/>
          <w:sz w:val="24"/>
        </w:rPr>
        <w:sectPr>
          <w:pgSz w:w="11906" w:h="16838"/>
          <w:pgMar w:top="1440" w:right="1466" w:bottom="1440" w:left="1620" w:header="851" w:footer="992" w:gutter="0"/>
          <w:cols w:space="425" w:num="1"/>
          <w:docGrid w:type="lines" w:linePitch="312" w:charSpace="0"/>
        </w:sectPr>
      </w:pPr>
    </w:p>
    <w:p w14:paraId="2C04EB4F">
      <w:pPr>
        <w:pStyle w:val="2"/>
        <w:jc w:val="center"/>
        <w:rPr>
          <w:rFonts w:ascii="黑体" w:eastAsia="黑体"/>
          <w:sz w:val="32"/>
          <w:szCs w:val="32"/>
        </w:rPr>
      </w:pPr>
      <w:bookmarkStart w:id="5" w:name="_Toc33965498"/>
      <w:r>
        <w:rPr>
          <w:rFonts w:hint="eastAsia" w:ascii="黑体" w:eastAsia="黑体"/>
          <w:sz w:val="32"/>
          <w:szCs w:val="32"/>
        </w:rPr>
        <w:t>第五章 总结</w:t>
      </w:r>
      <w:bookmarkEnd w:id="5"/>
    </w:p>
    <w:p>
      <w:pPr>
        <w:spacing w:line="360" w:lineRule="auto" w:before="0" w:after="0"/>
        <w:ind w:firstLine="420"/>
        <w:jc w:val="both"/>
      </w:pPr>
      <w:r>
        <w:rPr>
          <w:rFonts w:ascii="Times New Roman" w:hAnsi="Times New Roman" w:eastAsia="宋体"/>
          <w:sz w:val="24"/>
        </w:rPr>
        <w:t>AgentGuard 面向 AI Agent 工具链和主机行为审计，形成从日志接入、序列建模、异常检测到解释与证据复核的完整闭环。作品坚持防御性、可复现和诚实披露原则：工程数据用于证明链路，基线与消融用于检验方法，真实应用价值需要在授权环境持续验证。后续工作将由参赛队员补充受控真实轨迹、跨环境迁移测试和人工处置反馈。</w:t>
      </w:r>
    </w:p>
    <w:p>
      <w:pPr>
        <w:spacing w:line="360" w:lineRule="auto" w:before="0" w:after="0"/>
        <w:ind w:firstLine="420"/>
        <w:jc w:val="both"/>
      </w:pPr>
      <w:r>
        <w:rPr>
          <w:rFonts w:ascii="Times New Roman" w:hAnsi="Times New Roman" w:eastAsia="宋体"/>
          <w:sz w:val="24"/>
        </w:rPr>
        <w:t>本报告重建版已经整合当前全部确认成果：混合检测指标、模型和规则分层结果、本机正常日志、隔离可控异常日志、Loghub BGL/HDFS 公共日志、四个 .log 上传样例、上传状态反馈、连续更换日志流程、Windows/macOS 部署脚本和本地演示服务。对评委而言，最核心的理解方式是：AgentGuard 不是让大模型凭感觉读日志，而是把多来源行为整理成统一时间线，用小模型发现上下文偏离，用规则确认明确高危顺序，最后把每次告警拆回原始事件供人复核。</w:t>
      </w:r>
    </w:p>
    <w:p>
      <w:pPr>
        <w:spacing w:line="360" w:lineRule="auto" w:before="0" w:after="0"/>
        <w:ind w:firstLine="420"/>
        <w:jc w:val="both"/>
      </w:pPr>
      <w:r>
        <w:rPr>
          <w:rFonts w:ascii="Times New Roman" w:hAnsi="Times New Roman" w:eastAsia="宋体"/>
          <w:sz w:val="24"/>
        </w:rPr>
        <w:t>部署方面，参赛演示只需要三步：解压项目、运行安装脚本、启动本地演示台。Windows 使用 setupenv.ps1 和 rundemo.ps1，macOS 使用 setupenv.sh 和 rundemo.sh，浏览器访问 http://127.0.0.1:8080。完整复现使用 runall.ps1 或 runall.sh。如果要现场展示上传能力，直接打开 data/uploadlogs，按“正常日志、可控异常链、公开 BGL 异常日志、混合测试日志”的顺序上传即可。每次上传后页面会显示文件名、解析器、事件数和告警数，点击“查看链路”可查看具体行为。</w:t>
      </w:r>
    </w:p>
    <w:p>
      <w:pPr>
        <w:spacing w:line="360" w:lineRule="auto" w:before="0" w:after="0"/>
        <w:ind w:firstLine="420"/>
        <w:jc w:val="both"/>
      </w:pPr>
      <w:r>
        <w:rPr>
          <w:rFonts w:ascii="Times New Roman" w:hAnsi="Times New Roman" w:eastAsia="宋体"/>
          <w:sz w:val="24"/>
        </w:rPr>
        <w:t>未来工作将按“先接真实轨迹、再扩基线、最后做治理闭环”的顺序推进。短期目标是在授权环境中接入 200 到 1000 条真实 Agent trace 和主机遥测，重新评估误报；中期目标是加入 Loglizer、LSTM、Isolation Forest 和 One-Class SVM 等基线，形成更完整对比；长期目标是接入策略引擎、处置反馈和审计存证，形成可在组织内部运行的 Agent 行为安全运营组件。在进入真实部署前，所有指标都必须分数据来源报告，不能把自建工程基准、公共日志格式验证和生产遥测混成一个总准确率。</w:t>
      </w:r>
    </w:p>
    <w:p w14:paraId="1908058F">
      <w:pPr>
        <w:autoSpaceDE w:val="0"/>
        <w:autoSpaceDN w:val="0"/>
        <w:adjustRightInd w:val="0"/>
        <w:spacing w:line="360" w:lineRule="auto"/>
        <w:rPr>
          <w:rFonts w:ascii="宋体" w:hAnsi="宋体" w:cs="DFKai-SB"/>
          <w:bCs/>
          <w:sz w:val="24"/>
        </w:rPr>
        <w:sectPr>
          <w:pgSz w:w="11906" w:h="16838"/>
          <w:pgMar w:top="1440" w:right="1466" w:bottom="1440" w:left="1620" w:header="851" w:footer="992" w:gutter="0"/>
          <w:cols w:space="425" w:num="1"/>
          <w:docGrid w:type="lines" w:linePitch="312" w:charSpace="0"/>
        </w:sectPr>
      </w:pPr>
    </w:p>
    <w:p w14:paraId="2C04EB56">
      <w:pPr>
        <w:pStyle w:val="2"/>
        <w:rPr>
          <w:rFonts w:ascii="黑体" w:eastAsia="黑体"/>
          <w:sz w:val="32"/>
          <w:szCs w:val="32"/>
        </w:rPr>
      </w:pPr>
      <w:bookmarkStart w:id="6" w:name="_Toc33965499"/>
      <w:r>
        <w:rPr>
          <w:rFonts w:hint="eastAsia" w:ascii="黑体" w:eastAsia="黑体"/>
          <w:sz w:val="32"/>
          <w:szCs w:val="32"/>
        </w:rPr>
        <w:t>参考文献</w:t>
      </w:r>
      <w:bookmarkEnd w:id="6"/>
      <w:r>
        <w:rPr>
          <w:rFonts w:hint="eastAsia" w:ascii="黑体" w:eastAsia="黑体"/>
          <w:sz w:val="32"/>
          <w:szCs w:val="32"/>
        </w:rPr>
        <w:t xml:space="preserve"> </w:t>
      </w:r>
    </w:p>
    <w:p>
      <w:pPr>
        <w:spacing w:line="360" w:lineRule="auto" w:before="0" w:after="0"/>
        <w:ind w:firstLine="420"/>
        <w:jc w:val="both"/>
      </w:pPr>
      <w:r>
        <w:rPr>
          <w:rFonts w:ascii="Times New Roman" w:hAnsi="Times New Roman" w:eastAsia="宋体"/>
          <w:sz w:val="24"/>
        </w:rPr>
        <w:t>[1] VASWANI A, SHAZEER N, PARMAR N, et al. Attention is all you need[C]//Advances in Neural Information Processing Systems. 2017: 5998-6008.</w:t>
      </w:r>
    </w:p>
    <w:p>
      <w:pPr>
        <w:spacing w:line="360" w:lineRule="auto" w:before="0" w:after="0"/>
        <w:ind w:firstLine="420"/>
        <w:jc w:val="both"/>
      </w:pPr>
      <w:r>
        <w:rPr>
          <w:rFonts w:ascii="Times New Roman" w:hAnsi="Times New Roman" w:eastAsia="宋体"/>
          <w:sz w:val="24"/>
        </w:rPr>
        <w:t>[2] DU M, LI F, ZHENG G, et al. DeepLog: anomaly detection and diagnosis from system logs through deep learning[C]//Proceedings of the 2017 ACM SIGSAC Conference on Computer and Communications Security. 2017: 1285-1298.</w:t>
      </w:r>
    </w:p>
    <w:p>
      <w:pPr>
        <w:spacing w:line="360" w:lineRule="auto" w:before="0" w:after="0"/>
        <w:ind w:firstLine="420"/>
        <w:jc w:val="both"/>
      </w:pPr>
      <w:r>
        <w:rPr>
          <w:rFonts w:ascii="Times New Roman" w:hAnsi="Times New Roman" w:eastAsia="宋体"/>
          <w:sz w:val="24"/>
        </w:rPr>
        <w:t>[3] GUO H, YUAN S, WU X. LogBERT: log anomaly detection via BERT[C]//2021 International Joint Conference on Neural Networks. 2021: 1-8.</w:t>
      </w:r>
    </w:p>
    <w:p>
      <w:pPr>
        <w:spacing w:line="360" w:lineRule="auto" w:before="0" w:after="0"/>
        <w:ind w:firstLine="420"/>
        <w:jc w:val="both"/>
      </w:pPr>
      <w:r>
        <w:rPr>
          <w:rFonts w:ascii="Times New Roman" w:hAnsi="Times New Roman" w:eastAsia="宋体"/>
          <w:sz w:val="24"/>
        </w:rPr>
        <w:t>[4] XU J, WU H, WANG J, et al. Anomaly Transformer: time series anomaly detection with association discrepancy[C]//International Conference on Learning Representations. 2022.</w:t>
      </w:r>
    </w:p>
    <w:p>
      <w:pPr>
        <w:spacing w:line="360" w:lineRule="auto" w:before="0" w:after="0"/>
        <w:ind w:firstLine="420"/>
        <w:jc w:val="both"/>
      </w:pPr>
      <w:r>
        <w:rPr>
          <w:rFonts w:ascii="Times New Roman" w:hAnsi="Times New Roman" w:eastAsia="宋体"/>
          <w:sz w:val="24"/>
        </w:rPr>
        <w:t>[5] CHANDOLA V, BANERJEE A, KUMAR V. Anomaly detection: a survey[J]. ACM Computing Surveys, 2009, 41(3): 1-58.</w:t>
      </w:r>
    </w:p>
    <w:p>
      <w:pPr>
        <w:spacing w:line="360" w:lineRule="auto" w:before="0" w:after="0"/>
        <w:ind w:firstLine="420"/>
        <w:jc w:val="both"/>
      </w:pPr>
      <w:r>
        <w:rPr>
          <w:rFonts w:ascii="Times New Roman" w:hAnsi="Times New Roman" w:eastAsia="宋体"/>
          <w:sz w:val="24"/>
        </w:rPr>
        <w:t>[6] LUNDBERG S M, LEE S I. A unified approach to interpreting model predictions[C]//Advances in Neural Information Processing Systems. 2017: 4765-4774.</w:t>
      </w:r>
    </w:p>
    <w:p>
      <w:pPr>
        <w:spacing w:line="360" w:lineRule="auto" w:before="0" w:after="0"/>
        <w:ind w:firstLine="420"/>
        <w:jc w:val="both"/>
      </w:pPr>
      <w:r>
        <w:rPr>
          <w:rFonts w:ascii="Times New Roman" w:hAnsi="Times New Roman" w:eastAsia="宋体"/>
          <w:sz w:val="24"/>
        </w:rPr>
        <w:t>[7] NIST. Artificial Intelligence Risk Management Framework (AI RMF 1.0)[S]. NIST AI 100-1, 2023.</w:t>
      </w:r>
    </w:p>
    <w:p>
      <w:pPr>
        <w:spacing w:line="360" w:lineRule="auto" w:before="0" w:after="0"/>
        <w:ind w:firstLine="420"/>
        <w:jc w:val="both"/>
      </w:pPr>
      <w:r>
        <w:rPr>
          <w:rFonts w:ascii="Times New Roman" w:hAnsi="Times New Roman" w:eastAsia="宋体"/>
          <w:sz w:val="24"/>
        </w:rPr>
        <w:t>[8] KENT K, SOUPPAYA M. Guide to computer security log management[S]. NIST SP 800-92, 2006.</w:t>
      </w:r>
    </w:p>
    <w:p>
      <w:pPr>
        <w:spacing w:line="360" w:lineRule="auto" w:before="0" w:after="0"/>
        <w:ind w:firstLine="420"/>
        <w:jc w:val="both"/>
      </w:pPr>
      <w:r>
        <w:rPr>
          <w:rFonts w:ascii="Times New Roman" w:hAnsi="Times New Roman" w:eastAsia="宋体"/>
          <w:sz w:val="24"/>
        </w:rPr>
        <w:t>[9] MITRE. ATT&amp;CK Enterprise Matrix[EB/OL]. https://attack.mitre.org/.</w:t>
      </w:r>
    </w:p>
    <w:p>
      <w:pPr>
        <w:spacing w:line="360" w:lineRule="auto" w:before="0" w:after="0"/>
        <w:ind w:firstLine="420"/>
        <w:jc w:val="both"/>
      </w:pPr>
      <w:r>
        <w:rPr>
          <w:rFonts w:ascii="Times New Roman" w:hAnsi="Times New Roman" w:eastAsia="宋体"/>
          <w:sz w:val="24"/>
        </w:rPr>
        <w:t>[10] OWASP. Top 10 for Large Language Model Applications[EB/OL]. https://owasp.org/www-project-top-10-for-large-language-model-applications/.</w:t>
      </w:r>
    </w:p>
    <w:sectPr>
      <w:pgSz w:w="11906" w:h="16838"/>
      <w:pgMar w:top="1440" w:right="1466" w:bottom="1440" w:left="16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4EB5D">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2C04EB5E">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eastAsia="宋体"/>
        <w:sz w:val="18"/>
      </w:rPr>
      <w:t xml:space="preserve">第 </w:t>
    </w:r>
    <w:fldSimple w:instr="PAGE" w:dirty="true">
      <w:r>
        <w:rPr>
          <w:rFonts w:ascii="宋体" w:hAnsi="宋体" w:eastAsia="宋体"/>
          <w:sz w:val="18"/>
        </w:rPr>
        <w:t>1</w:t>
      </w:r>
    </w:fldSimple>
    <w:r>
      <w:rPr>
        <w:rFonts w:ascii="Times New Roman" w:hAnsi="Times New Roman" w:eastAsia="宋体"/>
        <w:sz w:val="18"/>
      </w:rPr>
      <w:t xml:space="preserve"> 页 共 </w:t>
    </w:r>
    <w:fldSimple w:instr="NUMPAGES" w:dirty="true">
      <w:r>
        <w:rPr>
          <w:rFonts w:ascii="宋体" w:hAnsi="宋体" w:eastAsia="宋体"/>
          <w:sz w:val="18"/>
        </w:rPr>
        <w:t>1</w:t>
      </w:r>
    </w:fldSimple>
    <w:r>
      <w:rPr>
        <w:rFonts w:ascii="Times New Roman" w:hAnsi="Times New Roman" w:eastAsia="宋体"/>
        <w:sz w:val="18"/>
      </w:rPr>
      <w:t xml:space="preserve"> 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sz w:val="18"/>
      </w:rPr>
      <w:t xml:space="preserve">第 </w:t>
    </w:r>
    <w:fldSimple w:instr="PAGE" w:dirty="true">
      <w:r>
        <w:rPr>
          <w:rFonts w:ascii="宋体" w:hAnsi="宋体" w:eastAsia="宋体"/>
          <w:sz w:val="18"/>
        </w:rPr>
        <w:t>1</w:t>
      </w:r>
    </w:fldSimple>
    <w:r>
      <w:rPr>
        <w:rFonts w:ascii="Times New Roman" w:hAnsi="Times New Roman" w:eastAsia="宋体"/>
        <w:sz w:val="18"/>
      </w:rPr>
      <w:t xml:space="preserve"> 页 共 </w:t>
    </w:r>
    <w:fldSimple w:instr="NUMPAGES" w:dirty="true">
      <w:r>
        <w:rPr>
          <w:rFonts w:ascii="宋体" w:hAnsi="宋体" w:eastAsia="宋体"/>
          <w:sz w:val="18"/>
        </w:rPr>
        <w:t>1</w:t>
      </w:r>
    </w:fldSimple>
    <w:r>
      <w:rPr>
        <w:rFonts w:ascii="Times New Roman" w:hAnsi="Times New Roman" w:eastAsia="宋体"/>
        <w:sz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D23D51"/>
    <w:rsid w:val="07711C04"/>
    <w:rsid w:val="40EE3087"/>
    <w:rsid w:val="52734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keepLines/>
      <w:spacing w:before="340" w:after="330" w:line="578" w:lineRule="auto"/>
      <w:outlineLvl w:val="0"/>
    </w:pPr>
    <w:rPr>
      <w:b/>
      <w:bCs/>
      <w:kern w:val="44"/>
      <w:sz w:val="44"/>
      <w:szCs w:val="44"/>
      <w:lang w:val="zh-CN"/>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footer"/>
    <w:basedOn w:val="1"/>
    <w:link w:val="11"/>
    <w:qFormat/>
    <w:uiPriority w:val="0"/>
    <w:pPr>
      <w:tabs>
        <w:tab w:val="center" w:pos="4153"/>
        <w:tab w:val="right" w:pos="8306"/>
      </w:tabs>
      <w:snapToGrid w:val="0"/>
      <w:jc w:val="left"/>
    </w:pPr>
    <w:rPr>
      <w:sz w:val="18"/>
      <w:szCs w:val="18"/>
      <w:lang w:val="zh-CN"/>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lang w:val="zh-CN"/>
    </w:rPr>
  </w:style>
  <w:style w:type="paragraph" w:styleId="5">
    <w:name w:val="toc 1"/>
    <w:basedOn w:val="1"/>
    <w:next w:val="1"/>
    <w:qFormat/>
    <w:uiPriority w:val="39"/>
    <w:rPr>
      <w:sz w:val="28"/>
    </w:rPr>
  </w:style>
  <w:style w:type="character" w:styleId="8">
    <w:name w:val="page number"/>
    <w:basedOn w:val="7"/>
    <w:qFormat/>
    <w:uiPriority w:val="0"/>
  </w:style>
  <w:style w:type="character" w:styleId="9">
    <w:name w:val="Hyperlink"/>
    <w:qFormat/>
    <w:uiPriority w:val="99"/>
    <w:rPr>
      <w:color w:val="000066"/>
      <w:u w:val="none"/>
    </w:rPr>
  </w:style>
  <w:style w:type="character" w:customStyle="1" w:styleId="10">
    <w:name w:val="页眉 字符"/>
    <w:link w:val="4"/>
    <w:qFormat/>
    <w:uiPriority w:val="0"/>
    <w:rPr>
      <w:kern w:val="2"/>
      <w:sz w:val="18"/>
      <w:szCs w:val="18"/>
    </w:rPr>
  </w:style>
  <w:style w:type="character" w:customStyle="1" w:styleId="11">
    <w:name w:val="页脚 字符"/>
    <w:link w:val="3"/>
    <w:qFormat/>
    <w:uiPriority w:val="0"/>
    <w:rPr>
      <w:kern w:val="2"/>
      <w:sz w:val="18"/>
      <w:szCs w:val="18"/>
    </w:rPr>
  </w:style>
  <w:style w:type="character" w:customStyle="1" w:styleId="12">
    <w:name w:val="标题 1 字符"/>
    <w:link w:val="2"/>
    <w:qFormat/>
    <w:uiPriority w:val="0"/>
    <w:rPr>
      <w:b/>
      <w:bCs/>
      <w:kern w:val="44"/>
      <w:sz w:val="44"/>
      <w:szCs w:val="44"/>
    </w:rPr>
  </w:style>
  <w:style w:type="paragraph" w:customStyle="1" w:styleId="13">
    <w:name w:val="正文1"/>
    <w:basedOn w:val="1"/>
    <w:qFormat/>
    <w:uiPriority w:val="0"/>
    <w:pPr>
      <w:ind w:firstLine="420" w:firstLineChars="200"/>
    </w:pPr>
    <w:rPr>
      <w:szCs w:val="20"/>
    </w:rPr>
  </w:style>
  <w:style w:type="paragraph" w:customStyle="1" w:styleId="Heading2">
    <w:name w:val="heading 2"/>
    <w:basedOn w:val="1"/>
    <w:pPr>
      <w:outlineLvl w:val="1"/>
    </w:pPr>
    <w:rPr>
      <w:rFonts w:ascii="黑体" w:hAnsi="黑体" w:eastAsia="黑体"/>
      <w:b/>
      <w:sz w:val="28"/>
    </w:rPr>
  </w:style>
  <w:style w:type="paragraph" w:customStyle="1" w:styleId="Heading3">
    <w:name w:val="heading 3"/>
    <w:basedOn w:val="1"/>
    <w:pPr>
      <w:outlineLvl w:val="2"/>
    </w:pPr>
    <w:rPr>
      <w:rFonts w:ascii="黑体" w:hAnsi="黑体" w:eastAsia="黑体"/>
      <w:b/>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617</Words>
  <Characters>700</Characters>
  <Lines>10</Lines>
  <Paragraphs>2</Paragraphs>
  <TotalTime>31</TotalTime>
  <ScaleCrop>false</ScaleCrop>
  <LinksUpToDate>false</LinksUpToDate>
  <CharactersWithSpaces>935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2024-04-05T20:59:00Z</dcterms:created>
  <dc:creator/>
  <cp:lastModifiedBy/>
  <dcterms:modified xsi:type="dcterms:W3CDTF">2026-06-09T12:58:44Z</dcterms:modified>
  <cp:revision>7</cp:revision>
  <dc:title>AgentGuard：基于行为序列建模的 AI Agent 异常检测系统</dc:title>
  <dc:subject>自主命题赛道作品报告</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8BE85A4225CD5E68A786276AB50EBB7B_33</vt:lpwstr>
  </property>
  <property fmtid="{D5CDD505-2E9C-101B-9397-08002B2CF9AE}" pid="4" name="KSOTemplateDocerSaveRecord">
    <vt:lpwstr>eyJoZGlkIjoiNWE3MWFmZmIxYjc1NzQwMmIzYzRkNjBlMjhlNDRmY2UiLCJ1c2VySWQiOiIxODI4Nzg3Njg3In0=</vt:lpwstr>
  </property>
</Properties>
</file>