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Module 5: Load balance HTTP(S) traffic in Azure</w:t>
      </w:r>
    </w:p>
    <w:p>
      <w:pPr>
        <w:pStyle w:val="Heading1"/>
        <w:numPr>
          <w:ilvl w:val="0"/>
          <w:numId w:val="3"/>
        </w:numPr>
        <w:bidi w:val="0"/>
        <w:jc w:val="left"/>
        <w:rPr/>
      </w:pPr>
      <w:r>
        <w:rPr/>
        <w:t>Chapter 2: Design Azure Application Gateway</w:t>
      </w:r>
    </w:p>
    <w:p>
      <w:pPr>
        <w:pStyle w:val="TextBody"/>
        <w:numPr>
          <w:ilvl w:val="0"/>
          <w:numId w:val="4"/>
        </w:numPr>
        <w:bidi w:val="0"/>
        <w:spacing w:before="0" w:after="140"/>
        <w:jc w:val="left"/>
        <w:rPr/>
      </w:pPr>
      <w:r>
        <w:rPr/>
        <w:t>Azure App Gateway (AG): web traffic LB that enables you to manage traffic to web apps.</w:t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/>
      </w:pPr>
      <w:r>
        <w:rPr/>
        <w:t>Application Layer (OSI layer 7) load balancing: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 xml:space="preserve">Route based on attributes of an HTTP request, such as URI path or host headers. </w:t>
      </w:r>
    </w:p>
    <w:p>
      <w:pPr>
        <w:pStyle w:val="TextBody"/>
        <w:numPr>
          <w:ilvl w:val="3"/>
          <w:numId w:val="4"/>
        </w:numPr>
        <w:bidi w:val="0"/>
        <w:spacing w:before="0" w:after="140"/>
        <w:jc w:val="left"/>
        <w:rPr/>
      </w:pPr>
      <w:r>
        <w:rPr>
          <w:b/>
          <w:bCs/>
        </w:rPr>
        <w:t xml:space="preserve">Ex. </w:t>
      </w:r>
      <w:r>
        <w:rPr/>
        <w:t>route traffic based on incoming URL (/images) route traffic to specific set of servers pool for images.</w:t>
      </w:r>
    </w:p>
    <w:p>
      <w:pPr>
        <w:pStyle w:val="TextBody"/>
        <w:numPr>
          <w:ilvl w:val="3"/>
          <w:numId w:val="4"/>
        </w:numPr>
        <w:bidi w:val="0"/>
        <w:spacing w:before="0" w:after="140"/>
        <w:jc w:val="left"/>
        <w:rPr/>
      </w:pPr>
      <w:r>
        <w:rPr/>
        <w:drawing>
          <wp:inline distT="0" distB="0" distL="0" distR="0">
            <wp:extent cx="3056890" cy="18719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89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4"/>
        </w:numPr>
        <w:bidi w:val="0"/>
        <w:spacing w:before="0" w:after="140"/>
        <w:jc w:val="left"/>
        <w:rPr>
          <w:b/>
          <w:b/>
          <w:bCs/>
        </w:rPr>
      </w:pPr>
      <w:r>
        <w:rPr>
          <w:b/>
          <w:bCs/>
        </w:rPr>
        <w:t>Features: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Support for HTTP, HTTPS, HTTP/2 and WebSocket protocols.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Web application firewall (WAF) to protect against web app vulnerabilities.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End-to-end request encryption.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Auto-scaling to adjust capacity based on web traffic.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>
          <w:b/>
          <w:bCs/>
        </w:rPr>
        <w:t>Redirection</w:t>
      </w:r>
      <w:r>
        <w:rPr/>
        <w:t>: to another site, or from HTTP to HTTPS.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 xml:space="preserve">Rewrite HTTP headers: </w:t>
      </w:r>
    </w:p>
    <w:p>
      <w:pPr>
        <w:pStyle w:val="TextBody"/>
        <w:numPr>
          <w:ilvl w:val="3"/>
          <w:numId w:val="4"/>
        </w:numPr>
        <w:bidi w:val="0"/>
        <w:spacing w:before="0" w:after="140"/>
        <w:jc w:val="left"/>
        <w:rPr/>
      </w:pPr>
      <w:r>
        <w:rPr/>
        <w:t>Headers pass parameter information with the request or the response.</w:t>
      </w:r>
    </w:p>
    <w:p>
      <w:pPr>
        <w:pStyle w:val="TextBody"/>
        <w:numPr>
          <w:ilvl w:val="2"/>
          <w:numId w:val="4"/>
        </w:numPr>
        <w:bidi w:val="0"/>
        <w:spacing w:before="0" w:after="140"/>
        <w:jc w:val="left"/>
        <w:rPr/>
      </w:pPr>
      <w:r>
        <w:rPr/>
        <w:t>Custom error pages</w:t>
      </w:r>
    </w:p>
    <w:p>
      <w:pPr>
        <w:pStyle w:val="Heading2"/>
        <w:numPr>
          <w:ilvl w:val="1"/>
          <w:numId w:val="2"/>
        </w:numPr>
        <w:rPr/>
      </w:pPr>
      <w:r>
        <w:rPr/>
        <w:t>Determine AG routing</w:t>
      </w:r>
    </w:p>
    <w:p>
      <w:pPr>
        <w:pStyle w:val="TextBody"/>
        <w:numPr>
          <w:ilvl w:val="0"/>
          <w:numId w:val="5"/>
        </w:numPr>
        <w:rPr/>
      </w:pPr>
      <w:r>
        <w:rPr/>
        <w:t>Client requests to web apps are sent to IP address/DNS name of the gateway.</w:t>
      </w:r>
    </w:p>
    <w:p>
      <w:pPr>
        <w:pStyle w:val="TextBody"/>
        <w:numPr>
          <w:ilvl w:val="1"/>
          <w:numId w:val="5"/>
        </w:numPr>
        <w:rPr/>
      </w:pPr>
      <w:r>
        <w:rPr/>
        <w:t>AG then determines which pool to go to</w:t>
      </w:r>
    </w:p>
    <w:p>
      <w:pPr>
        <w:pStyle w:val="Heading3"/>
        <w:numPr>
          <w:ilvl w:val="2"/>
          <w:numId w:val="2"/>
        </w:numPr>
        <w:rPr/>
      </w:pPr>
      <w:r>
        <w:rPr/>
        <w:t>Method 1: Path-based routing</w:t>
      </w:r>
    </w:p>
    <w:p>
      <w:pPr>
        <w:pStyle w:val="TextBody"/>
        <w:numPr>
          <w:ilvl w:val="0"/>
          <w:numId w:val="5"/>
        </w:numPr>
        <w:rPr/>
      </w:pPr>
      <w:r>
        <w:rPr/>
        <w:t>Direct requests with different URL paths to diff back-end server pools.</w:t>
      </w:r>
    </w:p>
    <w:p>
      <w:pPr>
        <w:pStyle w:val="TextBody"/>
        <w:numPr>
          <w:ilvl w:val="1"/>
          <w:numId w:val="5"/>
        </w:numPr>
        <w:rPr/>
      </w:pPr>
      <w:r>
        <w:rPr/>
        <w:drawing>
          <wp:inline distT="0" distB="0" distL="0" distR="0">
            <wp:extent cx="2760980" cy="183070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Method 2: Multiple site routing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Configures more than one web app on the same application gateway instance. </w:t>
      </w:r>
    </w:p>
    <w:p>
      <w:pPr>
        <w:pStyle w:val="TextBody"/>
        <w:numPr>
          <w:ilvl w:val="1"/>
          <w:numId w:val="5"/>
        </w:numPr>
        <w:rPr/>
      </w:pPr>
      <w:r>
        <w:rPr/>
        <w:t>Register multiple DNS names (CNAMEs) for IP address of AG and specify the name of each site (web app)</w:t>
      </w:r>
    </w:p>
    <w:p>
      <w:pPr>
        <w:pStyle w:val="TextBody"/>
        <w:numPr>
          <w:ilvl w:val="2"/>
          <w:numId w:val="5"/>
        </w:numPr>
        <w:rPr/>
      </w:pPr>
      <w:r>
        <w:rPr/>
        <w:t>Requests will go to diff back-end pools dedicated to a site</w:t>
      </w:r>
    </w:p>
    <w:p>
      <w:pPr>
        <w:pStyle w:val="TextBody"/>
        <w:numPr>
          <w:ilvl w:val="2"/>
          <w:numId w:val="5"/>
        </w:numPr>
        <w:rPr/>
      </w:pPr>
      <w:r>
        <w:rPr/>
        <w:drawing>
          <wp:inline distT="0" distB="0" distL="0" distR="0">
            <wp:extent cx="2994025" cy="19888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Choosing between Azure AG v2 and WAF v2 SKUs</w:t>
      </w:r>
    </w:p>
    <w:p>
      <w:pPr>
        <w:pStyle w:val="TextBody"/>
        <w:numPr>
          <w:ilvl w:val="0"/>
          <w:numId w:val="6"/>
        </w:numPr>
        <w:rPr/>
      </w:pPr>
      <w:r>
        <w:rPr/>
        <w:t>Many factors but, scaling strategy is very important!</w:t>
      </w:r>
    </w:p>
    <w:p>
      <w:pPr>
        <w:pStyle w:val="Heading3"/>
        <w:numPr>
          <w:ilvl w:val="2"/>
          <w:numId w:val="2"/>
        </w:numPr>
        <w:rPr/>
      </w:pPr>
      <w:r>
        <w:rPr/>
        <w:t>Scaling Application Gateway and WAF v2</w:t>
      </w:r>
    </w:p>
    <w:p>
      <w:pPr>
        <w:pStyle w:val="TextBody"/>
        <w:numPr>
          <w:ilvl w:val="0"/>
          <w:numId w:val="7"/>
        </w:numPr>
        <w:rPr/>
      </w:pPr>
      <w:r>
        <w:rPr/>
        <w:t>2 Models for Scaling:</w:t>
      </w:r>
    </w:p>
    <w:p>
      <w:pPr>
        <w:pStyle w:val="TextBody"/>
        <w:numPr>
          <w:ilvl w:val="1"/>
          <w:numId w:val="7"/>
        </w:numPr>
        <w:rPr/>
      </w:pPr>
      <w:r>
        <w:rPr>
          <w:b/>
          <w:bCs/>
        </w:rPr>
        <w:t>Autoscaling</w:t>
      </w:r>
      <w:r>
        <w:rPr/>
        <w:t xml:space="preserve">: </w:t>
      </w:r>
    </w:p>
    <w:p>
      <w:pPr>
        <w:pStyle w:val="TextBody"/>
        <w:numPr>
          <w:ilvl w:val="2"/>
          <w:numId w:val="7"/>
        </w:numPr>
        <w:rPr/>
      </w:pPr>
      <w:r>
        <w:rPr/>
        <w:t xml:space="preserve">AG &amp; WAF v2 SKUs scale up/down based on traffic needs (elasticity) </w:t>
      </w:r>
    </w:p>
    <w:p>
      <w:pPr>
        <w:pStyle w:val="TextBody"/>
        <w:numPr>
          <w:ilvl w:val="3"/>
          <w:numId w:val="7"/>
        </w:numPr>
        <w:rPr/>
      </w:pPr>
      <w:r>
        <w:rPr/>
        <w:t xml:space="preserve">Allows cost saving &amp; elasticity, but you need to set min/max instance count. </w:t>
      </w:r>
    </w:p>
    <w:p>
      <w:pPr>
        <w:pStyle w:val="TextBody"/>
        <w:numPr>
          <w:ilvl w:val="3"/>
          <w:numId w:val="7"/>
        </w:numPr>
        <w:rPr/>
      </w:pPr>
      <w:r>
        <w:rPr/>
        <w:t xml:space="preserve">Each instance has approx. 10 additional reserved Capacity Units. </w:t>
      </w:r>
    </w:p>
    <w:p>
      <w:pPr>
        <w:pStyle w:val="TextBody"/>
        <w:numPr>
          <w:ilvl w:val="4"/>
          <w:numId w:val="7"/>
        </w:numPr>
        <w:rPr/>
      </w:pPr>
      <w:r>
        <w:rPr/>
        <w:t>(If set to Zero = no reserved capacity and is pure auto-scaling).</w:t>
      </w:r>
    </w:p>
    <w:p>
      <w:pPr>
        <w:pStyle w:val="TextBody"/>
        <w:numPr>
          <w:ilvl w:val="3"/>
          <w:numId w:val="7"/>
        </w:numPr>
        <w:rPr/>
      </w:pPr>
      <w:r>
        <w:rPr/>
        <w:t>By specifying max instance count, ensures AG doesn't scale beyond the specified number of instances. Default value max = 20.</w:t>
      </w:r>
    </w:p>
    <w:p>
      <w:pPr>
        <w:pStyle w:val="TextBody"/>
        <w:numPr>
          <w:ilvl w:val="1"/>
          <w:numId w:val="7"/>
        </w:numPr>
        <w:rPr/>
      </w:pPr>
      <w:r>
        <w:rPr>
          <w:b/>
          <w:bCs/>
        </w:rPr>
        <w:t>Manual</w:t>
      </w:r>
      <w:r>
        <w:rPr/>
        <w:t xml:space="preserve">: </w:t>
      </w:r>
    </w:p>
    <w:p>
      <w:pPr>
        <w:pStyle w:val="TextBody"/>
        <w:numPr>
          <w:ilvl w:val="2"/>
          <w:numId w:val="7"/>
        </w:numPr>
        <w:rPr/>
      </w:pPr>
      <w:r>
        <w:rPr/>
        <w:t xml:space="preserve">No auto-scale so mandatory to specify instance count. </w:t>
      </w:r>
    </w:p>
    <w:p>
      <w:pPr>
        <w:pStyle w:val="TextBody"/>
        <w:numPr>
          <w:ilvl w:val="3"/>
          <w:numId w:val="7"/>
        </w:numPr>
        <w:rPr/>
      </w:pPr>
      <w:r>
        <w:rPr/>
        <w:t>Instance count can vary from 1 to 125 instances.</w:t>
      </w:r>
    </w:p>
    <w:p>
      <w:pPr>
        <w:pStyle w:val="Heading1"/>
        <w:numPr>
          <w:ilvl w:val="0"/>
          <w:numId w:val="3"/>
        </w:numPr>
        <w:rPr/>
      </w:pPr>
      <w:r>
        <w:rPr/>
        <w:t>Chapter 3: Configure Azure Application Gateway</w:t>
      </w:r>
    </w:p>
    <w:p>
      <w:pPr>
        <w:pStyle w:val="TextBody"/>
        <w:numPr>
          <w:ilvl w:val="0"/>
          <w:numId w:val="8"/>
        </w:numPr>
        <w:rPr>
          <w:b/>
          <w:b/>
          <w:bCs/>
        </w:rPr>
      </w:pPr>
      <w:r>
        <w:rPr>
          <w:b/>
          <w:bCs/>
        </w:rPr>
        <w:t>Components</w:t>
      </w:r>
    </w:p>
    <w:p>
      <w:pPr>
        <w:pStyle w:val="TextBody"/>
        <w:numPr>
          <w:ilvl w:val="1"/>
          <w:numId w:val="8"/>
        </w:numPr>
        <w:rPr/>
      </w:pPr>
      <w:r>
        <w:rPr/>
        <w:drawing>
          <wp:inline distT="0" distB="0" distL="0" distR="0">
            <wp:extent cx="5203825" cy="295783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2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2"/>
          <w:numId w:val="8"/>
        </w:numPr>
        <w:rPr/>
      </w:pPr>
      <w:r>
        <w:rPr>
          <w:b/>
          <w:bCs/>
        </w:rPr>
        <w:t>Front-end Config</w:t>
      </w:r>
    </w:p>
    <w:p>
      <w:pPr>
        <w:pStyle w:val="TextBody"/>
        <w:numPr>
          <w:ilvl w:val="3"/>
          <w:numId w:val="8"/>
        </w:numPr>
        <w:rPr/>
      </w:pPr>
      <w:r>
        <w:rPr/>
        <w:t xml:space="preserve">You can set a public IP address, a private IP address, or both on an AG. </w:t>
      </w:r>
    </w:p>
    <w:p>
      <w:pPr>
        <w:pStyle w:val="TextBody"/>
        <w:numPr>
          <w:ilvl w:val="4"/>
          <w:numId w:val="8"/>
        </w:numPr>
        <w:rPr/>
      </w:pPr>
      <w:r>
        <w:rPr/>
        <w:t>Public IP address required to host a back-end that clients access over the Internet via an Internet-facing virtual IP.</w:t>
      </w:r>
    </w:p>
    <w:p>
      <w:pPr>
        <w:pStyle w:val="TextBody"/>
        <w:numPr>
          <w:ilvl w:val="2"/>
          <w:numId w:val="8"/>
        </w:numPr>
        <w:rPr/>
      </w:pPr>
      <w:r>
        <w:rPr>
          <w:b/>
          <w:bCs/>
        </w:rPr>
        <w:t>Back-end Config</w:t>
      </w:r>
      <w:r>
        <w:rPr/>
        <w:t xml:space="preserve"> </w:t>
      </w:r>
    </w:p>
    <w:p>
      <w:pPr>
        <w:pStyle w:val="TextBody"/>
        <w:numPr>
          <w:ilvl w:val="3"/>
          <w:numId w:val="8"/>
        </w:numPr>
        <w:rPr/>
      </w:pPr>
      <w:r>
        <w:rPr/>
        <w:t>Used to route requests to the back-end servers that serve the request.</w:t>
      </w:r>
    </w:p>
    <w:p>
      <w:pPr>
        <w:pStyle w:val="TextBody"/>
        <w:numPr>
          <w:ilvl w:val="4"/>
          <w:numId w:val="8"/>
        </w:numPr>
        <w:rPr/>
      </w:pPr>
      <w:r>
        <w:rPr>
          <w:b/>
          <w:bCs/>
        </w:rPr>
        <w:t>Ex</w:t>
      </w:r>
      <w:r>
        <w:rPr/>
        <w:t xml:space="preserve">. NICs, VMSS, Public IPs, internal IPs, FQDNs, and multi-tenant back-ends like Azure App Service. </w:t>
      </w:r>
    </w:p>
    <w:p>
      <w:pPr>
        <w:pStyle w:val="Heading2"/>
        <w:numPr>
          <w:ilvl w:val="1"/>
          <w:numId w:val="2"/>
        </w:numPr>
        <w:rPr/>
      </w:pPr>
      <w:r>
        <w:rPr/>
        <w:t>Configure health probes</w:t>
      </w:r>
    </w:p>
    <w:p>
      <w:pPr>
        <w:pStyle w:val="TextBody"/>
        <w:numPr>
          <w:ilvl w:val="0"/>
          <w:numId w:val="9"/>
        </w:numPr>
        <w:rPr/>
      </w:pPr>
      <w:r>
        <w:rPr/>
        <w:t>By default, AGs send the health probes with the same port that is defined in the back-end HTTP settings. But you can use a custom port!</w:t>
      </w:r>
    </w:p>
    <w:p>
      <w:pPr>
        <w:pStyle w:val="TextBody"/>
        <w:numPr>
          <w:ilvl w:val="1"/>
          <w:numId w:val="9"/>
        </w:numPr>
        <w:rPr/>
      </w:pPr>
      <w:r>
        <w:rPr/>
        <w:t>This monitors the health &amp; removes unhealthy resources from the pool</w:t>
      </w:r>
    </w:p>
    <w:p>
      <w:pPr>
        <w:pStyle w:val="TextBody"/>
        <w:numPr>
          <w:ilvl w:val="1"/>
          <w:numId w:val="9"/>
        </w:numPr>
        <w:rPr/>
      </w:pPr>
      <w:r>
        <w:rPr>
          <w:u w:val="single"/>
        </w:rPr>
        <w:t>Source IP address that AG uses for health probes depends on the back-end pool</w:t>
      </w:r>
      <w:r>
        <w:rPr/>
        <w:t>:</w:t>
      </w:r>
    </w:p>
    <w:p>
      <w:pPr>
        <w:pStyle w:val="TextBody"/>
        <w:numPr>
          <w:ilvl w:val="2"/>
          <w:numId w:val="9"/>
        </w:numPr>
        <w:rPr/>
      </w:pPr>
      <w:r>
        <w:rPr/>
        <w:t>If server address is public, source address is AG’s front-end public IP.</w:t>
      </w:r>
    </w:p>
    <w:p>
      <w:pPr>
        <w:pStyle w:val="TextBody"/>
        <w:numPr>
          <w:ilvl w:val="2"/>
          <w:numId w:val="9"/>
        </w:numPr>
        <w:rPr/>
      </w:pPr>
      <w:r>
        <w:rPr/>
        <w:t>If server address is private, source IP is from AG subnet's private IP address space.</w:t>
      </w:r>
    </w:p>
    <w:p>
      <w:pPr>
        <w:pStyle w:val="TextBody"/>
        <w:numPr>
          <w:ilvl w:val="2"/>
          <w:numId w:val="9"/>
        </w:numPr>
        <w:rPr/>
      </w:pPr>
      <w:r>
        <w:rPr/>
        <w:drawing>
          <wp:inline distT="0" distB="0" distL="0" distR="0">
            <wp:extent cx="3586480" cy="206438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Default health probe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Default health probe is auto-configured if no custom probe are configured. </w:t>
      </w:r>
    </w:p>
    <w:p>
      <w:pPr>
        <w:pStyle w:val="TextBody"/>
        <w:numPr>
          <w:ilvl w:val="1"/>
          <w:numId w:val="10"/>
        </w:numPr>
        <w:rPr/>
      </w:pPr>
      <w:r>
        <w:rPr/>
        <w:t>Monitoring works by making an HTTP(s) GET request to the IP/FQDN of the back-end pool.</w:t>
      </w:r>
    </w:p>
    <w:p>
      <w:pPr>
        <w:pStyle w:val="TextBody"/>
        <w:numPr>
          <w:ilvl w:val="2"/>
          <w:numId w:val="10"/>
        </w:numPr>
        <w:rPr/>
      </w:pPr>
      <w:r>
        <w:rPr/>
        <w:t>Healthy HTTP response = status code 200-399 which is checked every 30 seconds. Unhealthy servers still get checked but AG won’t forward requests there till it is healthy</w:t>
      </w:r>
    </w:p>
    <w:p>
      <w:pPr>
        <w:pStyle w:val="TextBody"/>
        <w:numPr>
          <w:ilvl w:val="1"/>
          <w:numId w:val="10"/>
        </w:numPr>
        <w:rPr/>
      </w:pPr>
      <w:r>
        <w:rPr/>
        <w:drawing>
          <wp:inline distT="0" distB="0" distL="0" distR="0">
            <wp:extent cx="3819525" cy="242252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rPr/>
      </w:pPr>
      <w:r>
        <w:rPr/>
        <w:t>Custom health probe</w:t>
      </w:r>
    </w:p>
    <w:p>
      <w:pPr>
        <w:pStyle w:val="TextBody"/>
        <w:numPr>
          <w:ilvl w:val="0"/>
          <w:numId w:val="11"/>
        </w:numPr>
        <w:spacing w:before="0" w:after="140"/>
        <w:rPr/>
      </w:pPr>
      <w:r>
        <w:rPr/>
        <w:drawing>
          <wp:inline distT="0" distB="0" distL="0" distR="0">
            <wp:extent cx="4050665" cy="311213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Probe matching</w:t>
      </w:r>
    </w:p>
    <w:p>
      <w:pPr>
        <w:pStyle w:val="TextBody"/>
        <w:numPr>
          <w:ilvl w:val="0"/>
          <w:numId w:val="12"/>
        </w:numPr>
        <w:rPr/>
      </w:pPr>
      <w:r>
        <w:rPr>
          <w:b/>
          <w:bCs/>
        </w:rPr>
        <w:t>D</w:t>
      </w:r>
      <w:r>
        <w:rPr>
          <w:b/>
          <w:bCs/>
        </w:rPr>
        <w:t>efault</w:t>
      </w:r>
      <w:r>
        <w:rPr/>
        <w:t xml:space="preserve">: an HTTP(S) response </w:t>
      </w:r>
      <w:r>
        <w:rPr/>
        <w:t xml:space="preserve">w/ </w:t>
      </w:r>
      <w:r>
        <w:rPr/>
        <w:t xml:space="preserve">status code 200-399 is considered </w:t>
      </w:r>
      <w:r>
        <w:rPr>
          <w:b/>
          <w:bCs/>
        </w:rPr>
        <w:t>healthy</w:t>
      </w:r>
      <w:r>
        <w:rPr/>
        <w:t>.</w:t>
      </w:r>
    </w:p>
    <w:p>
      <w:pPr>
        <w:pStyle w:val="TextBody"/>
        <w:numPr>
          <w:ilvl w:val="0"/>
          <w:numId w:val="12"/>
        </w:numPr>
        <w:rPr/>
      </w:pPr>
      <w:r>
        <w:rPr>
          <w:u w:val="single"/>
        </w:rPr>
        <w:t>Custom probes have 2 other criteria</w:t>
      </w:r>
      <w:r>
        <w:rPr/>
        <w:t>: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HTTP response </w:t>
      </w:r>
      <w:r>
        <w:rPr>
          <w:i/>
          <w:iCs/>
        </w:rPr>
        <w:t xml:space="preserve">status code </w:t>
      </w:r>
      <w:r>
        <w:rPr/>
        <w:t xml:space="preserve">match – Match user specified HTTP response code/ranges. </w:t>
      </w:r>
    </w:p>
    <w:p>
      <w:pPr>
        <w:pStyle w:val="TextBody"/>
        <w:numPr>
          <w:ilvl w:val="1"/>
          <w:numId w:val="12"/>
        </w:numPr>
        <w:rPr/>
      </w:pPr>
      <w:r>
        <w:rPr/>
        <w:t xml:space="preserve">HTTP response </w:t>
      </w:r>
      <w:r>
        <w:rPr>
          <w:i/>
          <w:iCs/>
        </w:rPr>
        <w:t xml:space="preserve">body </w:t>
      </w:r>
      <w:r>
        <w:rPr/>
        <w:t xml:space="preserve">match – Match based on HTTP response body and matches with a user specified string. </w:t>
      </w:r>
    </w:p>
    <w:p>
      <w:pPr>
        <w:pStyle w:val="TextBody"/>
        <w:numPr>
          <w:ilvl w:val="2"/>
          <w:numId w:val="12"/>
        </w:numPr>
        <w:rPr/>
      </w:pPr>
      <w:r>
        <w:rPr/>
        <w:t>Looks for presence of user specified string in response body NOT full RegEx match.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listeners</w:t>
      </w:r>
    </w:p>
    <w:p>
      <w:pPr>
        <w:pStyle w:val="TextBody"/>
        <w:numPr>
          <w:ilvl w:val="0"/>
          <w:numId w:val="13"/>
        </w:numPr>
        <w:rPr/>
      </w:pPr>
      <w:r>
        <w:rPr/>
        <w:t>L</w:t>
      </w:r>
      <w:r>
        <w:rPr/>
        <w:t xml:space="preserve">istener checks for incoming connection requests </w:t>
      </w:r>
      <w:r>
        <w:rPr/>
        <w:t xml:space="preserve">by </w:t>
      </w:r>
      <w:r>
        <w:rPr/>
        <w:t xml:space="preserve">port </w:t>
      </w:r>
      <w:r>
        <w:rPr/>
        <w:t>#</w:t>
      </w:r>
      <w:r>
        <w:rPr/>
        <w:t xml:space="preserve">, protocol, host, and IP </w:t>
      </w:r>
    </w:p>
    <w:p>
      <w:pPr>
        <w:pStyle w:val="TextBody"/>
        <w:numPr>
          <w:ilvl w:val="1"/>
          <w:numId w:val="13"/>
        </w:numPr>
        <w:rPr/>
      </w:pPr>
      <w:r>
        <w:rPr>
          <w:b/>
          <w:bCs/>
        </w:rPr>
        <w:t>Example</w:t>
      </w:r>
      <w:r>
        <w:rPr/>
        <w:t>:</w:t>
      </w:r>
    </w:p>
    <w:p>
      <w:pPr>
        <w:pStyle w:val="TextBody"/>
        <w:numPr>
          <w:ilvl w:val="2"/>
          <w:numId w:val="13"/>
        </w:numPr>
        <w:rPr/>
      </w:pPr>
      <w:r>
        <w:rPr/>
        <w:drawing>
          <wp:inline distT="0" distB="0" distL="0" distR="0">
            <wp:extent cx="2295525" cy="278701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1"/>
          <w:numId w:val="2"/>
        </w:numPr>
        <w:spacing w:before="140" w:after="120"/>
        <w:rPr/>
      </w:pPr>
      <w:r>
        <w:rPr/>
        <w:t>Listener type</w:t>
      </w:r>
      <w:r>
        <w:rPr/>
        <w:t>s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Basic</w:t>
      </w:r>
      <w:r>
        <w:rPr/>
        <w:t>: All requests for any domain will be accepted and forwarded to back-end pools.</w:t>
      </w:r>
    </w:p>
    <w:p>
      <w:pPr>
        <w:pStyle w:val="TextBody"/>
        <w:numPr>
          <w:ilvl w:val="0"/>
          <w:numId w:val="14"/>
        </w:numPr>
        <w:rPr/>
      </w:pPr>
      <w:r>
        <w:rPr>
          <w:b/>
          <w:bCs/>
        </w:rPr>
        <w:t>Multi-site</w:t>
      </w:r>
      <w:r>
        <w:rPr/>
        <w:t xml:space="preserve">: Forward requests to different back-end pools based on the host header or host names. </w:t>
      </w:r>
    </w:p>
    <w:p>
      <w:pPr>
        <w:pStyle w:val="Heading3"/>
        <w:numPr>
          <w:ilvl w:val="1"/>
          <w:numId w:val="2"/>
        </w:numPr>
        <w:spacing w:before="140" w:after="120"/>
        <w:rPr/>
      </w:pPr>
      <w:r>
        <w:rPr/>
        <w:t>Order of processing listeners</w:t>
      </w:r>
    </w:p>
    <w:p>
      <w:pPr>
        <w:pStyle w:val="TextBody"/>
        <w:numPr>
          <w:ilvl w:val="0"/>
          <w:numId w:val="15"/>
        </w:numPr>
        <w:rPr/>
      </w:pPr>
      <w:r>
        <w:rPr>
          <w:b/>
          <w:bCs/>
        </w:rPr>
        <w:t>v1 SKU</w:t>
      </w:r>
      <w:r>
        <w:rPr/>
        <w:t xml:space="preserve">: requests are matched according to the order of the rules and the type of listener. </w:t>
      </w:r>
    </w:p>
    <w:p>
      <w:pPr>
        <w:pStyle w:val="TextBody"/>
        <w:numPr>
          <w:ilvl w:val="0"/>
          <w:numId w:val="15"/>
        </w:numPr>
        <w:rPr/>
      </w:pPr>
      <w:r>
        <w:rPr>
          <w:b/>
          <w:bCs/>
        </w:rPr>
        <w:t>v2 SKU:</w:t>
      </w:r>
      <w:r>
        <w:rPr/>
        <w:t xml:space="preserve"> multi-site listeners are processed before basic listeners.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 xml:space="preserve">Front-end IP, </w:t>
      </w:r>
      <w:r>
        <w:rPr/>
        <w:t>Port, Protocol</w:t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Choose front-end IP to associate with this listener </w:t>
      </w:r>
      <w:r>
        <w:rPr/>
        <w:t>(</w:t>
      </w:r>
      <w:r>
        <w:rPr/>
        <w:t>incoming requests on this IP</w:t>
      </w:r>
      <w:r>
        <w:rPr/>
        <w:t>).</w:t>
      </w:r>
    </w:p>
    <w:p>
      <w:pPr>
        <w:pStyle w:val="TextBody"/>
        <w:numPr>
          <w:ilvl w:val="0"/>
          <w:numId w:val="16"/>
        </w:numPr>
        <w:rPr/>
      </w:pPr>
      <w:r>
        <w:rPr/>
        <w:t xml:space="preserve">Choose front-end port </w:t>
      </w:r>
      <w:r>
        <w:rPr/>
        <w:t>(</w:t>
      </w:r>
      <w:r>
        <w:rPr/>
        <w:t xml:space="preserve">existing port </w:t>
      </w:r>
      <w:r>
        <w:rPr/>
        <w:t xml:space="preserve">or </w:t>
      </w:r>
      <w:r>
        <w:rPr/>
        <w:t>new</w:t>
      </w:r>
      <w:r>
        <w:rPr/>
        <w:t>)</w:t>
      </w:r>
      <w:r>
        <w:rPr/>
        <w:t xml:space="preserve">. </w:t>
      </w:r>
    </w:p>
    <w:p>
      <w:pPr>
        <w:pStyle w:val="TextBody"/>
        <w:numPr>
          <w:ilvl w:val="1"/>
          <w:numId w:val="16"/>
        </w:numPr>
        <w:rPr/>
      </w:pPr>
      <w:r>
        <w:rPr/>
        <w:t>P</w:t>
      </w:r>
      <w:r>
        <w:rPr/>
        <w:t xml:space="preserve">ort used for public-facing </w:t>
      </w:r>
      <w:r>
        <w:rPr/>
        <w:t xml:space="preserve">or private </w:t>
      </w:r>
      <w:r>
        <w:rPr/>
        <w:t>listeners.</w:t>
      </w:r>
    </w:p>
    <w:p>
      <w:pPr>
        <w:pStyle w:val="TextBody"/>
        <w:numPr>
          <w:ilvl w:val="0"/>
          <w:numId w:val="16"/>
        </w:numPr>
        <w:rPr/>
      </w:pPr>
      <w:r>
        <w:rPr/>
        <w:t>Choose HTTP/HTTPS: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HTTP</w:t>
      </w:r>
      <w:r>
        <w:rPr/>
        <w:t xml:space="preserve">: unencrypted </w:t>
      </w:r>
      <w:r>
        <w:rPr/>
        <w:t>traffic from client to AG</w:t>
      </w:r>
      <w:r>
        <w:rPr/>
        <w:t>.</w:t>
      </w:r>
    </w:p>
    <w:p>
      <w:pPr>
        <w:pStyle w:val="TextBody"/>
        <w:numPr>
          <w:ilvl w:val="1"/>
          <w:numId w:val="16"/>
        </w:numPr>
        <w:rPr/>
      </w:pPr>
      <w:r>
        <w:rPr>
          <w:b/>
          <w:bCs/>
        </w:rPr>
        <w:t>HTTPS</w:t>
      </w:r>
      <w:r>
        <w:rPr/>
        <w:t xml:space="preserve">: encrypted </w:t>
      </w:r>
      <w:r>
        <w:rPr/>
        <w:t>traffic from client to AG</w:t>
      </w:r>
    </w:p>
    <w:p>
      <w:pPr>
        <w:pStyle w:val="TextBody"/>
        <w:numPr>
          <w:ilvl w:val="2"/>
          <w:numId w:val="16"/>
        </w:numPr>
        <w:rPr/>
      </w:pPr>
      <w:r>
        <w:rPr/>
        <w:t>E</w:t>
      </w:r>
      <w:r>
        <w:rPr/>
        <w:t xml:space="preserve">nables TLS termination or end-to-end TLS encryption.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Redirection overview</w:t>
      </w:r>
    </w:p>
    <w:p>
      <w:pPr>
        <w:pStyle w:val="TextBody"/>
        <w:numPr>
          <w:ilvl w:val="0"/>
          <w:numId w:val="17"/>
        </w:numPr>
        <w:rPr/>
      </w:pPr>
      <w:r>
        <w:rPr/>
        <w:t xml:space="preserve">AG </w:t>
      </w:r>
      <w:r>
        <w:rPr/>
        <w:t xml:space="preserve">has generic redirection mechanism: </w:t>
      </w:r>
      <w:r>
        <w:rPr>
          <w:i/>
          <w:iCs/>
        </w:rPr>
        <w:t>R</w:t>
      </w:r>
      <w:r>
        <w:rPr>
          <w:i/>
          <w:iCs/>
        </w:rPr>
        <w:t xml:space="preserve">edirect traffic </w:t>
      </w:r>
      <w:r>
        <w:rPr>
          <w:i/>
          <w:iCs/>
        </w:rPr>
        <w:t xml:space="preserve">from one </w:t>
      </w:r>
      <w:r>
        <w:rPr>
          <w:i/>
          <w:iCs/>
        </w:rPr>
        <w:t>listener to another listener/external site</w:t>
      </w:r>
      <w:r>
        <w:rPr/>
        <w:t xml:space="preserve">. </w:t>
      </w:r>
    </w:p>
    <w:p>
      <w:pPr>
        <w:pStyle w:val="TextBody"/>
        <w:numPr>
          <w:ilvl w:val="1"/>
          <w:numId w:val="17"/>
        </w:numPr>
        <w:rPr/>
      </w:pPr>
      <w:r>
        <w:rPr/>
        <w:t>S</w:t>
      </w:r>
      <w:r>
        <w:rPr/>
        <w:t xml:space="preserve">implifies </w:t>
      </w:r>
      <w:r>
        <w:rPr/>
        <w:t xml:space="preserve">app </w:t>
      </w:r>
      <w:r>
        <w:rPr/>
        <w:t xml:space="preserve">config, optimizes resource usage, supports new redirection scenarios </w:t>
      </w:r>
      <w:r>
        <w:rPr/>
        <w:t>(</w:t>
      </w:r>
      <w:r>
        <w:rPr/>
        <w:t>global and path-based</w:t>
      </w:r>
      <w:r>
        <w:rPr/>
        <w:t>)</w:t>
      </w:r>
      <w:r>
        <w:rPr/>
        <w:t>.</w:t>
      </w:r>
    </w:p>
    <w:p>
      <w:pPr>
        <w:pStyle w:val="TextBody"/>
        <w:numPr>
          <w:ilvl w:val="0"/>
          <w:numId w:val="17"/>
        </w:numPr>
        <w:rPr/>
      </w:pPr>
      <w:r>
        <w:rPr/>
        <w:t>C</w:t>
      </w:r>
      <w:r>
        <w:rPr/>
        <w:t xml:space="preserve">ommon redirection </w:t>
      </w:r>
      <w:r>
        <w:rPr/>
        <w:t xml:space="preserve">scenario for </w:t>
      </w:r>
      <w:r>
        <w:rPr/>
        <w:t xml:space="preserve">web </w:t>
      </w:r>
      <w:r>
        <w:rPr/>
        <w:t xml:space="preserve">apps </w:t>
      </w:r>
      <w:r>
        <w:rPr/>
        <w:t xml:space="preserve">is automatic HTTP to HTTPS redirection </w:t>
      </w:r>
      <w:r>
        <w:rPr/>
        <w:t xml:space="preserve">to ensure encrypted traffic </w:t>
      </w:r>
      <w:r>
        <w:rPr/>
        <w:t xml:space="preserve">occurs </w:t>
      </w:r>
    </w:p>
    <w:p>
      <w:pPr>
        <w:pStyle w:val="TextBody"/>
        <w:numPr>
          <w:ilvl w:val="1"/>
          <w:numId w:val="17"/>
        </w:numPr>
        <w:rPr/>
      </w:pPr>
      <w:r>
        <w:rPr/>
        <w:t xml:space="preserve">Add </w:t>
      </w:r>
      <w:r>
        <w:rPr/>
        <w:t>a new redirect config to routing rule and specifying another listener with HTTPS protocol as the target listener.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>R</w:t>
      </w:r>
      <w:r>
        <w:rPr>
          <w:b/>
          <w:bCs/>
        </w:rPr>
        <w:t xml:space="preserve">edirection </w:t>
      </w:r>
      <w:r>
        <w:rPr>
          <w:b/>
          <w:bCs/>
        </w:rPr>
        <w:t>Types</w:t>
      </w:r>
      <w:r>
        <w:rPr/>
        <w:t>:</w:t>
      </w:r>
    </w:p>
    <w:p>
      <w:pPr>
        <w:pStyle w:val="TextBody"/>
        <w:numPr>
          <w:ilvl w:val="1"/>
          <w:numId w:val="17"/>
        </w:numPr>
        <w:rPr/>
      </w:pPr>
      <w:r>
        <w:rPr/>
        <w:t xml:space="preserve">301 </w:t>
      </w:r>
      <w:r>
        <w:rPr/>
        <w:t>(</w:t>
      </w:r>
      <w:r>
        <w:rPr/>
        <w:t>Permanent Redirect</w:t>
      </w:r>
      <w:r>
        <w:rPr/>
        <w:t>)</w:t>
      </w:r>
      <w:r>
        <w:rPr/>
        <w:t xml:space="preserve">, 302 </w:t>
      </w:r>
      <w:r>
        <w:rPr/>
        <w:t>(</w:t>
      </w:r>
      <w:r>
        <w:rPr/>
        <w:t>Found</w:t>
      </w:r>
      <w:r>
        <w:rPr/>
        <w:t>)</w:t>
      </w:r>
      <w:r>
        <w:rPr/>
        <w:t xml:space="preserve">, 303 </w:t>
      </w:r>
      <w:r>
        <w:rPr/>
        <w:t>(</w:t>
      </w:r>
      <w:r>
        <w:rPr/>
        <w:t>See Other</w:t>
      </w:r>
      <w:r>
        <w:rPr/>
        <w:t>)</w:t>
      </w:r>
      <w:r>
        <w:rPr/>
        <w:t xml:space="preserve">, 307 </w:t>
      </w:r>
      <w:r>
        <w:rPr/>
        <w:t>(</w:t>
      </w:r>
      <w:r>
        <w:rPr/>
        <w:t>Temporary Redirect</w:t>
      </w:r>
      <w:r>
        <w:rPr/>
        <w:t>)</w:t>
      </w:r>
    </w:p>
    <w:p>
      <w:pPr>
        <w:pStyle w:val="TextBody"/>
        <w:numPr>
          <w:ilvl w:val="0"/>
          <w:numId w:val="17"/>
        </w:numPr>
        <w:rPr/>
      </w:pPr>
      <w:r>
        <w:rPr>
          <w:b/>
          <w:bCs/>
        </w:rPr>
        <w:t xml:space="preserve">Capabilities of AG </w:t>
      </w:r>
      <w:r>
        <w:rPr>
          <w:b/>
          <w:bCs/>
        </w:rPr>
        <w:t>redirection</w:t>
      </w:r>
      <w:r>
        <w:rPr/>
        <w:t>:</w:t>
      </w:r>
    </w:p>
    <w:p>
      <w:pPr>
        <w:pStyle w:val="TextBody"/>
        <w:numPr>
          <w:ilvl w:val="1"/>
          <w:numId w:val="17"/>
        </w:numPr>
        <w:rPr/>
      </w:pPr>
      <w:r>
        <w:rPr>
          <w:i/>
          <w:iCs/>
        </w:rPr>
        <w:t>Global redirection –</w:t>
      </w:r>
      <w:r>
        <w:rPr/>
        <w:t xml:space="preserve"> Redirect from one listener to another listener on </w:t>
      </w:r>
      <w:r>
        <w:rPr/>
        <w:t>AG</w:t>
      </w:r>
      <w:r>
        <w:rPr/>
        <w:t xml:space="preserve">. </w:t>
      </w:r>
      <w:r>
        <w:rPr/>
        <w:t>(</w:t>
      </w:r>
      <w:r>
        <w:rPr/>
        <w:t>HTTP to HTTPS redirection</w:t>
      </w:r>
      <w:r>
        <w:rPr/>
        <w:t>)</w:t>
      </w:r>
    </w:p>
    <w:p>
      <w:pPr>
        <w:pStyle w:val="TextBody"/>
        <w:numPr>
          <w:ilvl w:val="1"/>
          <w:numId w:val="17"/>
        </w:numPr>
        <w:rPr/>
      </w:pPr>
      <w:r>
        <w:rPr>
          <w:i/>
          <w:iCs/>
        </w:rPr>
        <w:t>Path-based redirection</w:t>
      </w:r>
      <w:r>
        <w:rPr>
          <w:i w:val="false"/>
          <w:iCs w:val="false"/>
        </w:rPr>
        <w:t xml:space="preserve"> – </w:t>
      </w:r>
      <w:r>
        <w:rPr/>
        <w:t xml:space="preserve">Enables HTTP to HTTPS redirection only on a specific site area </w:t>
      </w:r>
      <w:r>
        <w:rPr/>
        <w:t>(</w:t>
      </w:r>
      <w:r>
        <w:rPr>
          <w:b/>
          <w:bCs/>
        </w:rPr>
        <w:t>ex</w:t>
      </w:r>
      <w:r>
        <w:rPr/>
        <w:t xml:space="preserve">. URL </w:t>
      </w:r>
      <w:r>
        <w:rPr/>
        <w:t>/cart/*</w:t>
      </w:r>
      <w:r>
        <w:rPr/>
        <w:t>)</w:t>
      </w:r>
      <w:r>
        <w:rPr/>
        <w:t>.</w:t>
      </w:r>
    </w:p>
    <w:p>
      <w:pPr>
        <w:pStyle w:val="TextBody"/>
        <w:numPr>
          <w:ilvl w:val="1"/>
          <w:numId w:val="17"/>
        </w:numPr>
        <w:rPr/>
      </w:pPr>
      <w:r>
        <w:rPr>
          <w:i/>
          <w:iCs/>
        </w:rPr>
        <w:t>Redirect to external site</w:t>
      </w:r>
      <w:r>
        <w:rPr/>
        <w:t xml:space="preserve">: Require new redirect configuration object </w:t>
      </w:r>
      <w:r>
        <w:rPr/>
        <w:t>(</w:t>
      </w:r>
      <w:r>
        <w:rPr>
          <w:b/>
          <w:bCs/>
        </w:rPr>
        <w:t>ex</w:t>
      </w:r>
      <w:r>
        <w:rPr/>
        <w:t xml:space="preserve">. </w:t>
      </w:r>
      <w:r>
        <w:rPr/>
        <w:t>target listener or external site to which redirection is desired</w:t>
      </w:r>
      <w:r>
        <w:rPr/>
        <w:t>)</w:t>
      </w:r>
      <w:r>
        <w:rPr/>
        <w:t xml:space="preserve">. 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Application Gateway request routing rules</w:t>
      </w:r>
    </w:p>
    <w:p>
      <w:pPr>
        <w:pStyle w:val="TextBody"/>
        <w:numPr>
          <w:ilvl w:val="0"/>
          <w:numId w:val="18"/>
        </w:numPr>
        <w:rPr/>
      </w:pPr>
      <w:r>
        <w:rPr/>
        <w:t>Created by default, t</w:t>
      </w:r>
      <w:r>
        <w:rPr/>
        <w:t xml:space="preserve">his rule binds default </w:t>
      </w:r>
      <w:r>
        <w:rPr>
          <w:b/>
          <w:bCs/>
        </w:rPr>
        <w:t>listener</w:t>
      </w:r>
      <w:r>
        <w:rPr/>
        <w:t xml:space="preserve"> (</w:t>
      </w:r>
      <w:r>
        <w:rPr>
          <w:i w:val="false"/>
          <w:iCs w:val="false"/>
        </w:rPr>
        <w:t>appGatewayHttpListener</w:t>
      </w:r>
      <w:r>
        <w:rPr/>
        <w:t xml:space="preserve">) w/ default </w:t>
      </w:r>
      <w:r>
        <w:rPr>
          <w:b/>
          <w:bCs/>
        </w:rPr>
        <w:t xml:space="preserve">back-end pool </w:t>
      </w:r>
      <w:r>
        <w:rPr/>
        <w:t>(</w:t>
      </w:r>
      <w:r>
        <w:rPr>
          <w:i w:val="false"/>
          <w:iCs w:val="false"/>
        </w:rPr>
        <w:t>appGatewayBackendPool</w:t>
      </w:r>
      <w:r>
        <w:rPr/>
        <w:t xml:space="preserve">) and default </w:t>
      </w:r>
      <w:r>
        <w:rPr>
          <w:b/>
          <w:bCs/>
        </w:rPr>
        <w:t xml:space="preserve">back-end HTTP settings </w:t>
      </w:r>
      <w:r>
        <w:rPr/>
        <w:t>(appGatewayBackendHttpSettings</w:t>
      </w:r>
      <w:r>
        <w:rPr/>
        <w:t>)</w:t>
      </w:r>
    </w:p>
    <w:p>
      <w:pPr>
        <w:pStyle w:val="TextBody"/>
        <w:numPr>
          <w:ilvl w:val="1"/>
          <w:numId w:val="18"/>
        </w:numPr>
        <w:rPr/>
      </w:pPr>
      <w:r>
        <w:rPr>
          <w:u w:val="single"/>
        </w:rPr>
        <w:t>2 Types</w:t>
      </w:r>
      <w:r>
        <w:rPr/>
        <w:t>:</w:t>
      </w:r>
    </w:p>
    <w:p>
      <w:pPr>
        <w:pStyle w:val="TextBody"/>
        <w:numPr>
          <w:ilvl w:val="2"/>
          <w:numId w:val="18"/>
        </w:numPr>
        <w:rPr/>
      </w:pPr>
      <w:r>
        <w:rPr/>
        <w:t>Basic – all req. to associated listener goes to single back-end pool</w:t>
      </w:r>
    </w:p>
    <w:p>
      <w:pPr>
        <w:pStyle w:val="TextBody"/>
        <w:numPr>
          <w:ilvl w:val="2"/>
          <w:numId w:val="18"/>
        </w:numPr>
        <w:rPr/>
      </w:pPr>
      <w:r>
        <w:rPr/>
        <w:t>Path-based – routes requests to specific pool based on URL path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 xml:space="preserve">Order of processing rules: </w:t>
      </w:r>
      <w:r>
        <w:rPr>
          <w:i/>
          <w:iCs/>
        </w:rPr>
        <w:t>Processed in the order that paths are listed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>Associated Listener</w:t>
      </w:r>
      <w:r>
        <w:rPr/>
        <w:t xml:space="preserve">: </w:t>
      </w:r>
    </w:p>
    <w:p>
      <w:pPr>
        <w:pStyle w:val="TextBody"/>
        <w:numPr>
          <w:ilvl w:val="1"/>
          <w:numId w:val="18"/>
        </w:numPr>
        <w:rPr/>
      </w:pPr>
      <w:r>
        <w:rPr/>
        <w:t>Request-routing rule associated w/ the listener evaluates to determine the back-end pool to route the request to.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>Associated back-end pool</w:t>
      </w:r>
      <w:r>
        <w:rPr/>
        <w:t>:</w:t>
      </w:r>
    </w:p>
    <w:p>
      <w:pPr>
        <w:pStyle w:val="TextBody"/>
        <w:numPr>
          <w:ilvl w:val="1"/>
          <w:numId w:val="18"/>
        </w:numPr>
        <w:rPr/>
      </w:pPr>
      <w:r>
        <w:rPr/>
        <w:t>Back-end pool that the rule determines contains should serve requests that the listener receives.</w:t>
      </w:r>
    </w:p>
    <w:p>
      <w:pPr>
        <w:pStyle w:val="TextBody"/>
        <w:numPr>
          <w:ilvl w:val="2"/>
          <w:numId w:val="18"/>
        </w:numPr>
        <w:rPr/>
      </w:pPr>
      <w:r>
        <w:rPr/>
        <w:t>Basic or Path-based</w:t>
      </w:r>
    </w:p>
    <w:p>
      <w:pPr>
        <w:pStyle w:val="TextBody"/>
        <w:numPr>
          <w:ilvl w:val="0"/>
          <w:numId w:val="18"/>
        </w:numPr>
        <w:rPr/>
      </w:pPr>
      <w:r>
        <w:rPr>
          <w:b/>
          <w:bCs/>
        </w:rPr>
        <w:t>Associated back-end HTTP setting</w:t>
      </w:r>
      <w:r>
        <w:rPr/>
        <w:t>:</w:t>
      </w:r>
    </w:p>
    <w:p>
      <w:pPr>
        <w:pStyle w:val="TextBody"/>
        <w:numPr>
          <w:ilvl w:val="1"/>
          <w:numId w:val="18"/>
        </w:numPr>
        <w:rPr/>
      </w:pPr>
      <w:r>
        <w:rPr/>
        <w:t>Back-end HTTP setting for each rule (Basic or Path-based)</w:t>
      </w:r>
    </w:p>
    <w:p>
      <w:pPr>
        <w:pStyle w:val="TextBody"/>
        <w:numPr>
          <w:ilvl w:val="2"/>
          <w:numId w:val="18"/>
        </w:numPr>
        <w:rPr/>
      </w:pPr>
      <w:r>
        <w:rPr/>
        <w:t>Port number, protocol, and other information that's specified in this setting is used to determine how to route requests from AG to the back-end back-end pool.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URL-based routing</w:t>
      </w:r>
    </w:p>
    <w:p>
      <w:pPr>
        <w:pStyle w:val="TextBody"/>
        <w:numPr>
          <w:ilvl w:val="0"/>
          <w:numId w:val="19"/>
        </w:numPr>
        <w:rPr/>
      </w:pPr>
      <w:r>
        <w:rPr/>
        <w:t>A</w:t>
      </w:r>
      <w:r>
        <w:rPr/>
        <w:t>llows rout</w:t>
      </w:r>
      <w:r>
        <w:rPr/>
        <w:t>ing of</w:t>
      </w:r>
      <w:r>
        <w:rPr/>
        <w:t xml:space="preserve"> traffic to back-end server pools based on URL Paths of the reques</w:t>
      </w:r>
      <w:r>
        <w:rPr/>
        <w:t>t</w:t>
      </w:r>
    </w:p>
    <w:p>
      <w:pPr>
        <w:pStyle w:val="TextBody"/>
        <w:numPr>
          <w:ilvl w:val="1"/>
          <w:numId w:val="19"/>
        </w:numPr>
        <w:rPr/>
      </w:pPr>
      <w:r>
        <w:rPr/>
        <w:t xml:space="preserve">v1 SKU, rules processed in order they are listed in portal. </w:t>
      </w:r>
    </w:p>
    <w:p>
      <w:pPr>
        <w:pStyle w:val="TextBody"/>
        <w:numPr>
          <w:ilvl w:val="1"/>
          <w:numId w:val="19"/>
        </w:numPr>
        <w:rPr/>
      </w:pPr>
      <w:r>
        <w:rPr/>
        <w:t>v2 SKU, exact matches have higher precedence.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 xml:space="preserve">Configure rewrite policies in </w:t>
      </w:r>
      <w:r>
        <w:rPr/>
        <w:t>AG</w:t>
      </w:r>
    </w:p>
    <w:p>
      <w:pPr>
        <w:pStyle w:val="TextBody"/>
        <w:numPr>
          <w:ilvl w:val="0"/>
          <w:numId w:val="20"/>
        </w:numPr>
        <w:rPr/>
      </w:pPr>
      <w:r>
        <w:rPr/>
        <w:t>R</w:t>
      </w:r>
      <w:r>
        <w:rPr/>
        <w:t xml:space="preserve">ewrite selected content of requests and responses </w:t>
      </w:r>
      <w:r>
        <w:rPr/>
        <w:t>based on specific conditions (</w:t>
      </w:r>
      <w:r>
        <w:rPr>
          <w:b/>
          <w:bCs/>
        </w:rPr>
        <w:t>ex</w:t>
      </w:r>
      <w:r>
        <w:rPr/>
        <w:t>. req/response info)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Supported rewrite types</w:t>
      </w:r>
    </w:p>
    <w:p>
      <w:pPr>
        <w:pStyle w:val="Heading4"/>
        <w:rPr/>
      </w:pPr>
      <w:r>
        <w:rPr/>
        <w:t>Request and response headers</w:t>
      </w:r>
    </w:p>
    <w:p>
      <w:pPr>
        <w:pStyle w:val="TextBody"/>
        <w:numPr>
          <w:ilvl w:val="0"/>
          <w:numId w:val="21"/>
        </w:numPr>
        <w:rPr/>
      </w:pPr>
      <w:r>
        <w:rPr/>
        <w:t>H</w:t>
      </w:r>
      <w:r>
        <w:rPr/>
        <w:t xml:space="preserve">eaders allow client </w:t>
      </w:r>
      <w:r>
        <w:rPr/>
        <w:t xml:space="preserve">&amp; </w:t>
      </w:r>
      <w:r>
        <w:rPr/>
        <w:t xml:space="preserve">server to pass additional </w:t>
      </w:r>
      <w:r>
        <w:rPr/>
        <w:t xml:space="preserve">info w/ </w:t>
      </w:r>
      <w:r>
        <w:rPr/>
        <w:t>a request or response</w:t>
      </w:r>
    </w:p>
    <w:p>
      <w:pPr>
        <w:pStyle w:val="TextBody"/>
        <w:numPr>
          <w:ilvl w:val="0"/>
          <w:numId w:val="21"/>
        </w:numPr>
        <w:rPr/>
      </w:pPr>
      <w:r>
        <w:rPr>
          <w:u w:val="single"/>
        </w:rPr>
        <w:t>Used to</w:t>
      </w:r>
      <w:r>
        <w:rPr/>
        <w:t>:</w:t>
      </w:r>
    </w:p>
    <w:p>
      <w:pPr>
        <w:pStyle w:val="TextBody"/>
        <w:numPr>
          <w:ilvl w:val="1"/>
          <w:numId w:val="21"/>
        </w:numPr>
        <w:rPr/>
      </w:pPr>
      <w:r>
        <w:rPr/>
        <w:t>Add security-related header fields (HSTS/ X-XSS-Protection)</w:t>
      </w:r>
    </w:p>
    <w:p>
      <w:pPr>
        <w:pStyle w:val="TextBody"/>
        <w:numPr>
          <w:ilvl w:val="1"/>
          <w:numId w:val="21"/>
        </w:numPr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Remove response header fields that reveal sensitive info</w:t>
      </w:r>
    </w:p>
    <w:p>
      <w:pPr>
        <w:pStyle w:val="TextBody"/>
        <w:numPr>
          <w:ilvl w:val="1"/>
          <w:numId w:val="21"/>
        </w:numPr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Remove port information from X-Forwarded-For headers.</w:t>
      </w:r>
    </w:p>
    <w:p>
      <w:pPr>
        <w:pStyle w:val="TextBody"/>
        <w:numPr>
          <w:ilvl w:val="0"/>
          <w:numId w:val="21"/>
        </w:numPr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drawing>
          <wp:inline distT="0" distB="0" distL="0" distR="0">
            <wp:extent cx="5446395" cy="10706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/>
      </w:pPr>
      <w:r>
        <w:rPr/>
        <w:t>URL path/query string</w:t>
      </w:r>
    </w:p>
    <w:p>
      <w:pPr>
        <w:pStyle w:val="TextBody"/>
        <w:numPr>
          <w:ilvl w:val="0"/>
          <w:numId w:val="22"/>
        </w:numPr>
        <w:rPr/>
      </w:pPr>
      <w:r>
        <w:rPr/>
        <w:t>Rewrite host name, path, and query string of the request URL</w:t>
      </w:r>
    </w:p>
    <w:p>
      <w:pPr>
        <w:pStyle w:val="TextBody"/>
        <w:numPr>
          <w:ilvl w:val="1"/>
          <w:numId w:val="22"/>
        </w:numPr>
        <w:rPr/>
      </w:pPr>
      <w:r>
        <w:rPr/>
        <w:drawing>
          <wp:inline distT="0" distB="0" distL="0" distR="0">
            <wp:extent cx="4922520" cy="78549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36" t="-853" r="-136" b="-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78549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3"/>
        </w:numPr>
        <w:rPr/>
      </w:pPr>
      <w:r>
        <w:rPr/>
        <w:t>Chapter 5: Design and configure Azure Front Door (FD)</w:t>
      </w:r>
    </w:p>
    <w:p>
      <w:pPr>
        <w:pStyle w:val="TextBody"/>
        <w:numPr>
          <w:ilvl w:val="0"/>
          <w:numId w:val="23"/>
        </w:numPr>
        <w:rPr/>
      </w:pPr>
      <w:r>
        <w:rPr/>
        <w:t xml:space="preserve">Azure FD allows </w:t>
      </w:r>
      <w:r>
        <w:rPr/>
        <w:t xml:space="preserve">access between users and your </w:t>
      </w:r>
      <w:r>
        <w:rPr/>
        <w:t>app</w:t>
      </w:r>
      <w:r>
        <w:rPr/>
        <w:t>’</w:t>
      </w:r>
      <w:r>
        <w:rPr/>
        <w:t>s</w:t>
      </w:r>
      <w:r>
        <w:rPr/>
        <w:t xml:space="preserve"> static and dynamic web content across the globe.</w:t>
      </w:r>
    </w:p>
    <w:p>
      <w:pPr>
        <w:pStyle w:val="TextBody"/>
        <w:numPr>
          <w:ilvl w:val="1"/>
          <w:numId w:val="23"/>
        </w:numPr>
        <w:rPr/>
      </w:pPr>
      <w:r>
        <w:rPr/>
        <w:t xml:space="preserve">It </w:t>
      </w:r>
      <w:r>
        <w:rPr/>
        <w:t xml:space="preserve">delivers your content using the </w:t>
      </w:r>
      <w:r>
        <w:rPr/>
        <w:t xml:space="preserve">MS </w:t>
      </w:r>
      <w:r>
        <w:rPr/>
        <w:t>global edge network:</w:t>
      </w:r>
    </w:p>
    <w:p>
      <w:pPr>
        <w:pStyle w:val="TextBody"/>
        <w:numPr>
          <w:ilvl w:val="1"/>
          <w:numId w:val="23"/>
        </w:numPr>
        <w:rPr/>
      </w:pPr>
      <w:r>
        <w:rPr/>
        <w:drawing>
          <wp:inline distT="0" distB="0" distL="0" distR="0">
            <wp:extent cx="3065145" cy="331025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1"/>
          <w:numId w:val="23"/>
        </w:numPr>
        <w:rPr/>
      </w:pPr>
      <w:r>
        <w:rPr/>
        <w:t>A secure, modern cloud CDN provides a distributed platform of servers</w:t>
      </w:r>
    </w:p>
    <w:p>
      <w:pPr>
        <w:pStyle w:val="TextBody"/>
        <w:numPr>
          <w:ilvl w:val="1"/>
          <w:numId w:val="23"/>
        </w:numPr>
        <w:rPr/>
      </w:pPr>
      <w:r>
        <w:rPr/>
        <w:drawing>
          <wp:inline distT="0" distB="0" distL="0" distR="0">
            <wp:extent cx="4808855" cy="1927860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855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Azure Front Door tier comparison</w:t>
      </w:r>
    </w:p>
    <w:p>
      <w:pPr>
        <w:pStyle w:val="TextBody"/>
        <w:numPr>
          <w:ilvl w:val="0"/>
          <w:numId w:val="24"/>
        </w:numPr>
        <w:rPr/>
      </w:pPr>
      <w:r>
        <w:rPr/>
        <w:t>Standard vs. Premium</w:t>
      </w:r>
    </w:p>
    <w:p>
      <w:pPr>
        <w:pStyle w:val="TextBody"/>
        <w:numPr>
          <w:ilvl w:val="1"/>
          <w:numId w:val="24"/>
        </w:numPr>
        <w:rPr/>
      </w:pPr>
      <w:r>
        <w:rPr/>
        <w:t>FD combines Azure FD (classic), Azure CDN Standard (classic), Azure WAF into 1 secure cloud CDN platform</w:t>
      </w:r>
    </w:p>
    <w:p>
      <w:pPr>
        <w:pStyle w:val="TextBody"/>
        <w:numPr>
          <w:ilvl w:val="1"/>
          <w:numId w:val="24"/>
        </w:numPr>
        <w:rPr/>
      </w:pPr>
      <w:r>
        <w:rPr/>
        <w:t>Users connect to your app through MS global network &amp; Azure FD routes user requests to the fastest and most available application back-end.</w:t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Routing architecture overview</w:t>
      </w:r>
    </w:p>
    <w:p>
      <w:pPr>
        <w:pStyle w:val="TextBody"/>
        <w:numPr>
          <w:ilvl w:val="0"/>
          <w:numId w:val="25"/>
        </w:numPr>
        <w:rPr/>
      </w:pPr>
      <w:r>
        <w:rPr/>
        <w:drawing>
          <wp:inline distT="0" distB="0" distL="0" distR="0">
            <wp:extent cx="1593850" cy="276161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redirection rules in Front Door</w:t>
      </w:r>
    </w:p>
    <w:p>
      <w:pPr>
        <w:pStyle w:val="TextBody"/>
        <w:numPr>
          <w:ilvl w:val="0"/>
          <w:numId w:val="26"/>
        </w:numPr>
        <w:rPr/>
      </w:pPr>
      <w:r>
        <w:rPr/>
        <w:t xml:space="preserve">After establishing a connection </w:t>
      </w:r>
      <w:r>
        <w:rPr/>
        <w:t>&amp;</w:t>
      </w:r>
      <w:r>
        <w:rPr/>
        <w:t xml:space="preserve"> </w:t>
      </w:r>
      <w:r>
        <w:rPr/>
        <w:t xml:space="preserve">successful </w:t>
      </w:r>
      <w:r>
        <w:rPr/>
        <w:t xml:space="preserve">TLS handshake, </w:t>
      </w:r>
      <w:r>
        <w:rPr/>
        <w:t>FD will determine which routing rule to match the request</w:t>
      </w:r>
    </w:p>
    <w:p>
      <w:pPr>
        <w:pStyle w:val="Heading3"/>
        <w:numPr>
          <w:ilvl w:val="2"/>
          <w:numId w:val="2"/>
        </w:numPr>
        <w:spacing w:before="140" w:after="120"/>
        <w:rPr/>
      </w:pPr>
      <w:r>
        <w:rPr/>
        <w:t>Front Door route rules configuration structure</w:t>
      </w:r>
    </w:p>
    <w:p>
      <w:pPr>
        <w:pStyle w:val="TextBody"/>
        <w:numPr>
          <w:ilvl w:val="0"/>
          <w:numId w:val="27"/>
        </w:numPr>
        <w:rPr/>
      </w:pPr>
      <w:r>
        <w:rPr>
          <w:u w:val="single"/>
        </w:rPr>
        <w:t xml:space="preserve">2 </w:t>
      </w:r>
      <w:r>
        <w:rPr>
          <w:u w:val="single"/>
        </w:rPr>
        <w:t>major parts</w:t>
      </w:r>
      <w:r>
        <w:rPr/>
        <w:t xml:space="preserve">: </w:t>
      </w:r>
    </w:p>
    <w:p>
      <w:pPr>
        <w:pStyle w:val="TextBody"/>
        <w:numPr>
          <w:ilvl w:val="1"/>
          <w:numId w:val="27"/>
        </w:numPr>
        <w:rPr/>
      </w:pPr>
      <w:r>
        <w:rPr/>
        <w:t>"</w:t>
      </w:r>
      <w:r>
        <w:rPr>
          <w:i/>
          <w:iCs/>
        </w:rPr>
        <w:t>left-hand side</w:t>
      </w:r>
      <w:r>
        <w:rPr/>
        <w:t xml:space="preserve">" </w:t>
      </w:r>
      <w:r>
        <w:rPr/>
        <w:t xml:space="preserve">of route is matched by FD to </w:t>
      </w:r>
      <w:r>
        <w:rPr/>
        <w:t>the incoming request.</w:t>
      </w:r>
    </w:p>
    <w:p>
      <w:pPr>
        <w:pStyle w:val="TextBody"/>
        <w:numPr>
          <w:ilvl w:val="2"/>
          <w:numId w:val="27"/>
        </w:numPr>
        <w:rPr/>
      </w:pPr>
      <w:r>
        <w:rPr/>
        <w:t>HTTP</w:t>
      </w:r>
      <w:r>
        <w:rPr/>
        <w:t>(s)</w:t>
      </w:r>
      <w:r>
        <w:rPr/>
        <w:t xml:space="preserve"> Protocols </w:t>
      </w:r>
    </w:p>
    <w:p>
      <w:pPr>
        <w:pStyle w:val="TextBody"/>
        <w:numPr>
          <w:ilvl w:val="2"/>
          <w:numId w:val="27"/>
        </w:numPr>
        <w:rPr/>
      </w:pPr>
      <w:r>
        <w:rPr/>
        <w:t>Hosts (</w:t>
      </w:r>
      <w:r>
        <w:rPr>
          <w:b/>
          <w:bCs/>
        </w:rPr>
        <w:t>ex</w:t>
      </w:r>
      <w:r>
        <w:rPr/>
        <w:t>.</w:t>
      </w:r>
      <w:r>
        <w:rPr/>
        <w:t xml:space="preserve"> www.foo.com, *.bar.com)</w:t>
      </w:r>
    </w:p>
    <w:p>
      <w:pPr>
        <w:pStyle w:val="TextBody"/>
        <w:numPr>
          <w:ilvl w:val="2"/>
          <w:numId w:val="27"/>
        </w:numPr>
        <w:rPr/>
      </w:pPr>
      <w:r>
        <w:rPr/>
        <w:t>Paths (</w:t>
      </w:r>
      <w:r>
        <w:rPr>
          <w:b/>
          <w:bCs/>
        </w:rPr>
        <w:t>ex</w:t>
      </w:r>
      <w:r>
        <w:rPr/>
        <w:t>.</w:t>
      </w:r>
      <w:r>
        <w:rPr/>
        <w:t xml:space="preserve"> /, /users/, /file.gif)</w:t>
      </w:r>
    </w:p>
    <w:p>
      <w:pPr>
        <w:pStyle w:val="TextBody"/>
        <w:numPr>
          <w:ilvl w:val="1"/>
          <w:numId w:val="27"/>
        </w:numPr>
        <w:rPr/>
      </w:pPr>
      <w:r>
        <w:rPr/>
        <w:t>"</w:t>
      </w:r>
      <w:r>
        <w:rPr>
          <w:i/>
          <w:iCs/>
        </w:rPr>
        <w:t>right-hand side</w:t>
      </w:r>
      <w:r>
        <w:rPr/>
        <w:t xml:space="preserve">" </w:t>
      </w:r>
      <w:r>
        <w:rPr/>
        <w:t xml:space="preserve">of route </w:t>
      </w:r>
      <w:r>
        <w:rPr/>
        <w:t xml:space="preserve">defines how </w:t>
      </w:r>
      <w:r>
        <w:rPr/>
        <w:t xml:space="preserve">FD </w:t>
      </w:r>
      <w:r>
        <w:rPr/>
        <w:t>processes the request.</w:t>
      </w:r>
    </w:p>
    <w:p>
      <w:pPr>
        <w:pStyle w:val="TextBody"/>
        <w:numPr>
          <w:ilvl w:val="0"/>
          <w:numId w:val="27"/>
        </w:numPr>
        <w:rPr>
          <w:b/>
          <w:b/>
          <w:bCs/>
        </w:rPr>
      </w:pPr>
      <w:r>
        <w:rPr>
          <w:b/>
          <w:bCs/>
        </w:rPr>
        <w:t>Route data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Cached data for a specific route (gets cached response)</w:t>
      </w:r>
    </w:p>
    <w:p>
      <w:pPr>
        <w:pStyle w:val="TextBody"/>
        <w:numPr>
          <w:ilvl w:val="0"/>
          <w:numId w:val="27"/>
        </w:numPr>
        <w:rPr>
          <w:b/>
          <w:b/>
          <w:bCs/>
        </w:rPr>
      </w:pPr>
      <w:r>
        <w:rPr>
          <w:b/>
          <w:bCs/>
        </w:rPr>
        <w:t>Route matching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FD matches req to </w:t>
      </w:r>
      <w:r>
        <w:rPr>
          <w:b w:val="false"/>
          <w:bCs w:val="false"/>
          <w:i/>
          <w:iCs/>
        </w:rPr>
        <w:t xml:space="preserve">most-specific match first </w:t>
      </w:r>
      <w:r>
        <w:rPr>
          <w:b w:val="false"/>
          <w:bCs w:val="false"/>
        </w:rPr>
        <w:t xml:space="preserve">looking only at the left-hand side of the route. 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Criteria: </w:t>
      </w:r>
      <w:r>
        <w:rPr>
          <w:b w:val="false"/>
          <w:bCs w:val="false"/>
          <w:i/>
          <w:iCs/>
        </w:rPr>
        <w:t>HTTP</w:t>
      </w:r>
      <w:r>
        <w:rPr>
          <w:b w:val="false"/>
          <w:bCs w:val="false"/>
        </w:rPr>
        <w:t xml:space="preserve"> protocol, then </w:t>
      </w:r>
      <w:r>
        <w:rPr>
          <w:b w:val="false"/>
          <w:bCs w:val="false"/>
          <w:i/>
          <w:iCs/>
        </w:rPr>
        <w:t>Front-end</w:t>
      </w:r>
      <w:r>
        <w:rPr>
          <w:b w:val="false"/>
          <w:bCs w:val="false"/>
        </w:rPr>
        <w:t xml:space="preserve"> host, then the </w:t>
      </w:r>
      <w:r>
        <w:rPr>
          <w:b w:val="false"/>
          <w:bCs w:val="false"/>
          <w:i/>
          <w:iCs/>
        </w:rPr>
        <w:t>Path</w:t>
      </w:r>
      <w:r>
        <w:rPr>
          <w:b w:val="false"/>
          <w:bCs w:val="false"/>
        </w:rPr>
        <w:t>.</w:t>
      </w:r>
    </w:p>
    <w:p>
      <w:pPr>
        <w:pStyle w:val="TextBody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/>
          <w:bCs/>
        </w:rPr>
        <w:t>Azure FD redirects traffic at each of the following levels: protocol, host-name, path, query string.</w:t>
      </w:r>
      <w:r>
        <w:rPr>
          <w:b w:val="false"/>
          <w:bCs w:val="false"/>
        </w:rPr>
        <w:t xml:space="preserve"> </w:t>
      </w:r>
    </w:p>
    <w:p>
      <w:pPr>
        <w:pStyle w:val="TextBody"/>
        <w:numPr>
          <w:ilvl w:val="1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inline distT="0" distB="0" distL="0" distR="0">
            <wp:extent cx="3007995" cy="2179955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995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>Redirection Types:</w:t>
      </w:r>
    </w:p>
    <w:p>
      <w:pPr>
        <w:pStyle w:val="TextBody"/>
        <w:numPr>
          <w:ilvl w:val="0"/>
          <w:numId w:val="28"/>
        </w:numPr>
        <w:rPr/>
      </w:pPr>
      <w:r>
        <w:rPr/>
        <w:drawing>
          <wp:inline distT="0" distB="0" distL="0" distR="0">
            <wp:extent cx="4084320" cy="2233295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numPr>
          <w:ilvl w:val="0"/>
          <w:numId w:val="28"/>
        </w:numPr>
        <w:rPr/>
      </w:pPr>
      <w:r>
        <w:rPr/>
        <w:drawing>
          <wp:inline distT="0" distB="0" distL="0" distR="0">
            <wp:extent cx="4002405" cy="132715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2"/>
        </w:numPr>
        <w:spacing w:before="200" w:after="120"/>
        <w:rPr/>
      </w:pPr>
      <w:r>
        <w:rPr/>
        <w:t>Configure health probes, including customization of HTTP response codes</w:t>
      </w:r>
    </w:p>
    <w:p>
      <w:pPr>
        <w:pStyle w:val="TextBody"/>
        <w:numPr>
          <w:ilvl w:val="0"/>
          <w:numId w:val="29"/>
        </w:numPr>
        <w:rPr/>
      </w:pPr>
      <w:r>
        <w:rPr/>
        <w:t xml:space="preserve">Probes are used to </w:t>
      </w:r>
      <w:r>
        <w:rPr/>
        <w:t xml:space="preserve">determine health/proximity of each back-end </w:t>
      </w:r>
      <w:r>
        <w:rPr/>
        <w:t xml:space="preserve">pool </w:t>
      </w:r>
      <w:r>
        <w:rPr/>
        <w:t xml:space="preserve">for </w:t>
      </w:r>
      <w:r>
        <w:rPr/>
        <w:t xml:space="preserve">1 </w:t>
      </w:r>
      <w:r>
        <w:rPr/>
        <w:t>Front Door environment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FD </w:t>
      </w:r>
      <w:r>
        <w:rPr/>
        <w:t xml:space="preserve">environment periodically sends HTTP/HTTPS request to configured back-ends </w:t>
      </w:r>
      <w:r>
        <w:rPr/>
        <w:t>and the response determines the ‘best’ back-end resource for request to go to.</w:t>
      </w:r>
    </w:p>
    <w:p>
      <w:pPr>
        <w:pStyle w:val="TextBody"/>
        <w:numPr>
          <w:ilvl w:val="0"/>
          <w:numId w:val="29"/>
        </w:numPr>
        <w:rPr>
          <w:b/>
          <w:b/>
          <w:bCs/>
        </w:rPr>
      </w:pPr>
      <w:r>
        <w:rPr>
          <w:b/>
          <w:bCs/>
        </w:rPr>
        <w:t>Supported HTTP methods for health probes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GET method means retrieve </w:t>
      </w:r>
      <w:r>
        <w:rPr/>
        <w:t xml:space="preserve">info. </w:t>
      </w:r>
    </w:p>
    <w:p>
      <w:pPr>
        <w:pStyle w:val="TextBody"/>
        <w:numPr>
          <w:ilvl w:val="1"/>
          <w:numId w:val="29"/>
        </w:numPr>
        <w:rPr/>
      </w:pPr>
      <w:r>
        <w:rPr/>
        <w:t xml:space="preserve">HEAD method is identical to GET except that the server MUST NOT return a message-body </w:t>
      </w:r>
    </w:p>
    <w:p>
      <w:pPr>
        <w:pStyle w:val="TextBody"/>
        <w:numPr>
          <w:ilvl w:val="0"/>
          <w:numId w:val="29"/>
        </w:numPr>
        <w:rPr/>
      </w:pPr>
      <w:r>
        <w:rPr>
          <w:b/>
          <w:bCs/>
        </w:rPr>
        <w:t>Responses</w:t>
      </w:r>
      <w:r>
        <w:rPr/>
        <w:t>:</w:t>
      </w:r>
    </w:p>
    <w:p>
      <w:pPr>
        <w:pStyle w:val="TextBody"/>
        <w:numPr>
          <w:ilvl w:val="1"/>
          <w:numId w:val="29"/>
        </w:numPr>
        <w:spacing w:before="0" w:after="140"/>
        <w:rPr/>
      </w:pPr>
      <w:r>
        <w:rPr/>
        <w:drawing>
          <wp:inline distT="0" distB="0" distL="0" distR="0">
            <wp:extent cx="3959860" cy="10826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283" w:right="283" w:gutter="283" w:header="0" w:top="283" w:footer="0" w:bottom="28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2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3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sz w:val="24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2696</TotalTime>
  <Application>LibreOffice/7.3.7.2$Linux_X86_64 LibreOffice_project/30$Build-2</Application>
  <AppVersion>15.0000</AppVersion>
  <Pages>9</Pages>
  <Words>1543</Words>
  <Characters>7870</Characters>
  <CharactersWithSpaces>9161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2023-07-23T23:36:43Z</dcterms:created>
  <dc:creator/>
  <dc:description/>
  <dc:language>en-CA</dc:language>
  <cp:lastModifiedBy/>
  <dcterms:modified xsi:type="dcterms:W3CDTF">2023-07-27T21:14:19Z</dcterms:modified>
  <cp:revision>368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