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Times New Roman" w:cs="Times New Roman" w:hAnsi="Times New Roman"/>
        </w:rPr>
        <w:t xml:space="preserve">A NEW SPECIES OF RANID FROG (AMPHIBIA: ANURA: RANIDAE) OF THE </w:t>
      </w:r>
      <w:r>
        <w:rPr>
          <w:rFonts w:ascii="Times New Roman" w:cs="Times New Roman" w:hAnsi="Times New Roman"/>
          <w:i/>
        </w:rPr>
        <w:t>HYLARANA SIGNATA</w:t>
      </w:r>
      <w:r>
        <w:rPr>
          <w:rFonts w:ascii="Times New Roman" w:cs="Times New Roman" w:hAnsi="Times New Roman"/>
        </w:rPr>
        <w:t xml:space="preserve"> COMPLEX FROM PENINSULAR MALAYSIA</w:t>
      </w:r>
    </w:p>
    <w:p>
      <w:pPr>
        <w:pStyle w:val="style0"/>
        <w:spacing w:line="480" w:lineRule="auto"/>
        <w:jc w:val="center"/>
      </w:pPr>
      <w:r>
        <w:rPr>
          <w:rFonts w:ascii="Times New Roman" w:hAnsi="Times New Roman"/>
        </w:rPr>
      </w:r>
    </w:p>
    <w:p>
      <w:pPr>
        <w:pStyle w:val="style0"/>
        <w:spacing w:line="480" w:lineRule="auto"/>
        <w:jc w:val="center"/>
      </w:pPr>
      <w:r>
        <w:rPr>
          <w:rFonts w:ascii="Times New Roman" w:cs="Times New Roman" w:hAnsi="Times New Roman"/>
          <w:smallCaps/>
        </w:rPr>
        <w:t>Kin Onn Chan</w:t>
      </w:r>
      <w:r>
        <w:rPr>
          <w:rFonts w:ascii="Times New Roman" w:cs="Times New Roman" w:hAnsi="Times New Roman"/>
          <w:smallCaps/>
          <w:vertAlign w:val="superscript"/>
        </w:rPr>
        <w:t>1,5,6</w:t>
      </w:r>
      <w:r>
        <w:rPr>
          <w:rFonts w:ascii="Times New Roman" w:cs="Times New Roman" w:hAnsi="Times New Roman"/>
          <w:smallCaps/>
        </w:rPr>
        <w:t>, Rafe M. Brown</w:t>
      </w:r>
      <w:r>
        <w:rPr>
          <w:rFonts w:ascii="Times New Roman" w:cs="Times New Roman" w:hAnsi="Times New Roman"/>
          <w:smallCaps/>
          <w:vertAlign w:val="superscript"/>
        </w:rPr>
        <w:t>1</w:t>
      </w:r>
      <w:r>
        <w:rPr>
          <w:rFonts w:ascii="Times New Roman" w:cs="Times New Roman" w:hAnsi="Times New Roman"/>
          <w:smallCaps/>
        </w:rPr>
        <w:t>, Kelvin K. P. Lim</w:t>
      </w:r>
      <w:r>
        <w:rPr>
          <w:rFonts w:ascii="Times New Roman" w:cs="Times New Roman" w:hAnsi="Times New Roman"/>
          <w:smallCaps/>
          <w:vertAlign w:val="superscript"/>
        </w:rPr>
        <w:t>2</w:t>
      </w:r>
      <w:r>
        <w:rPr>
          <w:rFonts w:ascii="Times New Roman" w:cs="Times New Roman" w:hAnsi="Times New Roman"/>
          <w:smallCaps/>
        </w:rPr>
        <w:t>, Norhayati Ahmad</w:t>
      </w:r>
      <w:r>
        <w:rPr>
          <w:rFonts w:ascii="Times New Roman" w:cs="Times New Roman" w:hAnsi="Times New Roman"/>
          <w:smallCaps/>
          <w:vertAlign w:val="superscript"/>
        </w:rPr>
        <w:t>3</w:t>
      </w:r>
      <w:r>
        <w:rPr>
          <w:rFonts w:ascii="Times New Roman" w:cs="Times New Roman" w:hAnsi="Times New Roman"/>
          <w:smallCaps/>
        </w:rPr>
        <w:t xml:space="preserve">, </w:t>
      </w:r>
      <w:r>
        <w:rPr>
          <w:rFonts w:ascii="Times New Roman" w:cs="Times New Roman" w:hAnsi="Times New Roman"/>
          <w:smallCaps/>
        </w:rPr>
        <w:t xml:space="preserve">and </w:t>
      </w:r>
      <w:r>
        <w:rPr>
          <w:rFonts w:ascii="Times New Roman" w:cs="Times New Roman" w:hAnsi="Times New Roman"/>
          <w:smallCaps/>
        </w:rPr>
        <w:t>L. Lee Grismer</w:t>
      </w:r>
      <w:r>
        <w:rPr>
          <w:rFonts w:ascii="Times New Roman" w:cs="Times New Roman" w:hAnsi="Times New Roman"/>
          <w:smallCaps/>
          <w:vertAlign w:val="superscript"/>
        </w:rPr>
        <w:t>3,4</w:t>
      </w:r>
    </w:p>
    <w:p>
      <w:pPr>
        <w:pStyle w:val="style0"/>
        <w:spacing w:line="480" w:lineRule="auto"/>
        <w:jc w:val="center"/>
      </w:pPr>
      <w:r>
        <w:rPr>
          <w:rFonts w:ascii="Times New Roman" w:hAnsi="Times New Roman"/>
        </w:rPr>
      </w:r>
    </w:p>
    <w:p>
      <w:pPr>
        <w:pStyle w:val="style0"/>
        <w:spacing w:line="480" w:lineRule="auto"/>
        <w:jc w:val="center"/>
      </w:pPr>
      <w:r>
        <w:rPr>
          <w:rFonts w:ascii="Times New Roman" w:cs="Times New Roman" w:hAnsi="Times New Roman"/>
          <w:i/>
          <w:vertAlign w:val="superscript"/>
        </w:rPr>
        <w:t>1</w:t>
      </w:r>
      <w:r>
        <w:rPr>
          <w:rFonts w:ascii="Times New Roman" w:cs="Times New Roman" w:hAnsi="Times New Roman"/>
          <w:i/>
        </w:rPr>
        <w:t>Biodiversity Institute and Department of Ecology and Evolutionary Biology, University of Kansas, Lawrence, KS 66045-7561, USA</w:t>
      </w:r>
    </w:p>
    <w:p>
      <w:pPr>
        <w:pStyle w:val="style0"/>
        <w:spacing w:line="480" w:lineRule="auto"/>
        <w:jc w:val="center"/>
      </w:pPr>
      <w:r>
        <w:rPr>
          <w:rFonts w:ascii="Times New Roman" w:cs="Times New Roman" w:hAnsi="Times New Roman"/>
          <w:i/>
          <w:vertAlign w:val="superscript"/>
        </w:rPr>
        <w:t>2</w:t>
      </w:r>
      <w:r>
        <w:rPr>
          <w:rFonts w:ascii="Times New Roman" w:cs="Times New Roman" w:hAnsi="Times New Roman"/>
          <w:i/>
          <w:iCs/>
        </w:rPr>
        <w:t>Raffles Museum of Biodiversity Research, Department of Biological Sciences,</w:t>
      </w:r>
    </w:p>
    <w:p>
      <w:pPr>
        <w:pStyle w:val="style0"/>
        <w:widowControl w:val="false"/>
        <w:spacing w:line="480" w:lineRule="auto"/>
        <w:jc w:val="center"/>
      </w:pPr>
      <w:r>
        <w:rPr>
          <w:rFonts w:ascii="Times New Roman" w:cs="Times New Roman" w:hAnsi="Times New Roman"/>
          <w:i/>
          <w:iCs/>
        </w:rPr>
        <w:t>National University of Singapore, 6 Science Drive 2, Singapore 117546, Republic of Singapore</w:t>
      </w:r>
    </w:p>
    <w:p>
      <w:pPr>
        <w:pStyle w:val="style0"/>
        <w:spacing w:line="480" w:lineRule="auto"/>
        <w:jc w:val="center"/>
      </w:pPr>
      <w:r>
        <w:rPr>
          <w:rFonts w:ascii="Times New Roman" w:cs="Times New Roman" w:hAnsi="Times New Roman"/>
          <w:color w:val="231F20"/>
          <w:vertAlign w:val="superscript"/>
        </w:rPr>
        <w:t>3</w:t>
      </w:r>
      <w:r>
        <w:rPr>
          <w:rFonts w:ascii="Times New Roman" w:cs="Times New Roman" w:hAnsi="Times New Roman"/>
          <w:i/>
          <w:color w:val="231F20"/>
        </w:rPr>
        <w:t>School of Environment and Natural Resource Sciences, Faculty of Science and Technology, Universiti Kebangsaan Malaysia, 43600 Bangi, Selangor Darul Ehsan, Malaysia</w:t>
      </w:r>
    </w:p>
    <w:p>
      <w:pPr>
        <w:pStyle w:val="style0"/>
        <w:spacing w:line="480" w:lineRule="auto"/>
        <w:jc w:val="center"/>
      </w:pPr>
      <w:r>
        <w:rPr>
          <w:rFonts w:ascii="Times New Roman" w:cs="Times New Roman" w:hAnsi="Times New Roman"/>
          <w:color w:val="231F20"/>
          <w:vertAlign w:val="superscript"/>
        </w:rPr>
        <w:t>4</w:t>
      </w:r>
      <w:r>
        <w:rPr>
          <w:rFonts w:ascii="Times New Roman" w:cs="Times New Roman" w:hAnsi="Times New Roman"/>
          <w:i/>
          <w:iCs/>
        </w:rPr>
        <w:t>Department of Biology, La Sierra University, 4500 Riverwalk Parkway, Riverside, California, 92515-8247 USA</w:t>
      </w:r>
    </w:p>
    <w:p>
      <w:pPr>
        <w:pStyle w:val="style0"/>
        <w:spacing w:line="480" w:lineRule="auto"/>
        <w:jc w:val="center"/>
      </w:pPr>
      <w:r>
        <w:rPr>
          <w:rFonts w:ascii="Times New Roman" w:hAnsi="Times New Roman"/>
        </w:rPr>
      </w:r>
    </w:p>
    <w:p>
      <w:pPr>
        <w:pStyle w:val="style0"/>
        <w:spacing w:line="480" w:lineRule="auto"/>
        <w:ind w:firstLine="720" w:left="0" w:right="0"/>
      </w:pPr>
      <w:r>
        <w:rPr>
          <w:rStyle w:val="style29"/>
          <w:rFonts w:ascii="Times New Roman" w:hAnsi="Times New Roman"/>
        </w:rPr>
        <w:footnoteReference w:id="2"/>
      </w:r>
      <w:r>
        <w:rPr>
          <w:rFonts w:ascii="Times New Roman" w:cs="Times New Roman" w:hAnsi="Times New Roman"/>
          <w:smallCaps/>
          <w:color w:val="231F20"/>
        </w:rPr>
        <w:t>Present Address</w:t>
      </w:r>
      <w:r>
        <w:rPr>
          <w:rFonts w:ascii="Times New Roman" w:cs="Times New Roman" w:hAnsi="Times New Roman"/>
          <w:color w:val="231F20"/>
        </w:rPr>
        <w:t>: Department of Ecology and Evolutionary Biology, University of Kansas,</w:t>
      </w:r>
      <w:r>
        <w:rPr>
          <w:rFonts w:ascii="Times New Roman" w:cs="Times New Roman" w:hAnsi="Times New Roman"/>
        </w:rPr>
        <w:t xml:space="preserve"> Lawrence, KS 66045-7561, USA</w:t>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ind w:firstLine="720" w:left="0" w:right="0"/>
      </w:pPr>
      <w:r>
        <w:rPr>
          <w:rFonts w:ascii="Times New Roman" w:cs="Times New Roman" w:hAnsi="Times New Roman"/>
          <w:iCs/>
          <w:smallCaps/>
        </w:rPr>
        <w:t>Abstract</w:t>
      </w:r>
      <w:r>
        <w:rPr>
          <w:rFonts w:ascii="Times New Roman" w:cs="Times New Roman" w:hAnsi="Times New Roman"/>
        </w:rPr>
        <w:t>:</w:t>
      </w:r>
      <w:r>
        <w:rPr>
          <w:rFonts w:ascii="Times New Roman" w:cs="Times New Roman" w:hAnsi="Times New Roman"/>
          <w:i/>
        </w:rPr>
        <w:t xml:space="preserve"> </w:t>
      </w:r>
      <w:r>
        <w:rPr>
          <w:rFonts w:ascii="Times New Roman" w:cs="Times New Roman" w:hAnsi="Times New Roman"/>
        </w:rPr>
        <w:t xml:space="preserve">We describe a new species from the </w:t>
      </w:r>
      <w:r>
        <w:rPr>
          <w:rFonts w:ascii="Times New Roman" w:cs="Times New Roman" w:hAnsi="Times New Roman"/>
          <w:i/>
        </w:rPr>
        <w:t>Hylarana signata</w:t>
      </w:r>
      <w:r>
        <w:rPr>
          <w:rFonts w:ascii="Times New Roman" w:cs="Times New Roman" w:hAnsi="Times New Roman"/>
        </w:rPr>
        <w:t xml:space="preserve"> Complex in Peninsular Malaysia based on morphological and genetic differentiation. </w:t>
      </w:r>
      <w:r>
        <w:rPr>
          <w:rFonts w:ascii="Times New Roman" w:cs="Times New Roman" w:hAnsi="Times New Roman"/>
        </w:rPr>
        <w:t>The new species</w:t>
      </w:r>
      <w:r>
        <w:rPr>
          <w:rFonts w:ascii="Times New Roman" w:cs="Times New Roman" w:hAnsi="Times New Roman"/>
        </w:rPr>
        <w:t xml:space="preserve">  </w:t>
      </w:r>
      <w:r>
        <w:rPr>
          <w:rFonts w:ascii="Times New Roman" w:cs="Times New Roman" w:hAnsi="Times New Roman"/>
        </w:rPr>
        <w:t>can be differentiated</w:t>
      </w:r>
      <w:r>
        <w:rPr>
          <w:rFonts w:ascii="Times New Roman" w:cs="Times New Roman" w:hAnsi="Times New Roman"/>
        </w:rPr>
        <w:t xml:space="preserve"> from its congeners by the following combination of characters: (1</w:t>
      </w:r>
      <w:r>
        <w:rPr>
          <w:rFonts w:ascii="Times New Roman" w:cs="Times New Roman" w:hAnsi="Times New Roman"/>
          <w:bCs/>
        </w:rPr>
        <w:t xml:space="preserve">) adult males reaching 37.6 mm SVL; (2) nuptial pads absent (males); (3) humeral glands large (males); (4) webbing on toes reduced, not extending beyond middle subarticular tubercle of fourth toe; (5) dorsolateral stripe straight, unbroken, red or orange in color; (6) middorsal region black, unmarked; (7) flanks black, unstratified; (8) large, round, yellow spots on flanks, dorsal part of limbs and upper labia; (9) venter dark brown, whitish spots on throat, whitish reticulations on belly. The new species is phenotypically most similar to the distantly allopatric </w:t>
      </w:r>
      <w:r>
        <w:rPr>
          <w:rFonts w:ascii="Times New Roman" w:cs="Times New Roman" w:hAnsi="Times New Roman"/>
          <w:bCs/>
          <w:i/>
        </w:rPr>
        <w:t>H. siberu</w:t>
      </w:r>
      <w:r>
        <w:rPr>
          <w:rFonts w:ascii="Times New Roman" w:cs="Times New Roman" w:hAnsi="Times New Roman"/>
          <w:bCs/>
        </w:rPr>
        <w:t xml:space="preserve"> (Siberut Island, south of Sumatra, Indonesia) but differs by having larger, more dense and more rounded spots on the flanks and dorsal side of limbs, and larger spots along the entire upper lip as opposed to smaller spots restricted to the proximal half of the upper lip. We use mitochondrial data (12S–16S ribosomal RNA gene fragments) to estimate genealogical relationships and genetic divergences between the new species, </w:t>
      </w:r>
      <w:r>
        <w:rPr>
          <w:rFonts w:ascii="Times New Roman" w:cs="Times New Roman" w:hAnsi="Times New Roman"/>
          <w:bCs/>
          <w:i/>
        </w:rPr>
        <w:t>H. siberu</w:t>
      </w:r>
      <w:r>
        <w:rPr>
          <w:rFonts w:ascii="Times New Roman" w:cs="Times New Roman" w:hAnsi="Times New Roman"/>
          <w:bCs/>
        </w:rPr>
        <w:t xml:space="preserve">, a related Sumatran population, and other members of the </w:t>
      </w:r>
      <w:r>
        <w:rPr>
          <w:rFonts w:ascii="Times New Roman" w:cs="Times New Roman" w:hAnsi="Times New Roman"/>
          <w:bCs/>
          <w:i/>
        </w:rPr>
        <w:t xml:space="preserve">H. signata </w:t>
      </w:r>
      <w:r>
        <w:rPr>
          <w:rFonts w:ascii="Times New Roman" w:cs="Times New Roman" w:hAnsi="Times New Roman"/>
          <w:bCs/>
          <w:i w:val="false"/>
          <w:iCs w:val="false"/>
        </w:rPr>
        <w:t>C</w:t>
      </w:r>
      <w:r>
        <w:rPr>
          <w:rFonts w:ascii="Times New Roman" w:cs="Times New Roman" w:hAnsi="Times New Roman"/>
          <w:bCs/>
        </w:rPr>
        <w:t>omplex.  These data unequivocally support the recognition of the new taxon and provide insights into its evolutionary relationships.</w:t>
      </w:r>
    </w:p>
    <w:p>
      <w:pPr>
        <w:pStyle w:val="style0"/>
        <w:spacing w:line="480" w:lineRule="auto"/>
        <w:ind w:firstLine="720" w:left="0" w:right="0"/>
      </w:pPr>
      <w:r>
        <w:rPr>
          <w:rFonts w:ascii="Times New Roman" w:cs="Times New Roman" w:hAnsi="Times New Roman"/>
          <w:bCs/>
          <w:i/>
        </w:rPr>
        <w:t>Key words:</w:t>
      </w:r>
      <w:r>
        <w:rPr>
          <w:rFonts w:ascii="Times New Roman" w:cs="Times New Roman" w:hAnsi="Times New Roman"/>
          <w:bCs/>
        </w:rPr>
        <w:t xml:space="preserve"> </w:t>
      </w:r>
      <w:r>
        <w:rPr>
          <w:rFonts w:ascii="Times New Roman" w:cs="Times New Roman" w:hAnsi="Times New Roman"/>
          <w:bCs/>
          <w:i/>
        </w:rPr>
        <w:t xml:space="preserve"> debussyi</w:t>
      </w:r>
      <w:r>
        <w:rPr>
          <w:rFonts w:ascii="Times New Roman" w:cs="Times New Roman" w:hAnsi="Times New Roman"/>
          <w:bCs/>
        </w:rPr>
        <w:t xml:space="preserve">; </w:t>
      </w:r>
      <w:r>
        <w:rPr>
          <w:rFonts w:ascii="Times New Roman" w:cs="Times New Roman" w:hAnsi="Times New Roman"/>
          <w:bCs/>
          <w:i/>
          <w:iCs/>
        </w:rPr>
        <w:t>Hylarana</w:t>
      </w:r>
      <w:r>
        <w:rPr>
          <w:rFonts w:ascii="Times New Roman" w:cs="Times New Roman" w:hAnsi="Times New Roman"/>
          <w:bCs/>
        </w:rPr>
        <w:t xml:space="preserve">; </w:t>
      </w:r>
      <w:r>
        <w:rPr>
          <w:rFonts w:ascii="Times New Roman" w:cs="Times New Roman" w:hAnsi="Times New Roman"/>
          <w:bCs/>
          <w:i/>
        </w:rPr>
        <w:t>siberu</w:t>
      </w:r>
      <w:r>
        <w:rPr>
          <w:rFonts w:ascii="Times New Roman" w:cs="Times New Roman" w:hAnsi="Times New Roman"/>
          <w:bCs/>
        </w:rPr>
        <w:t>; Sumatra; systematics; taxonomy</w:t>
      </w:r>
    </w:p>
    <w:p>
      <w:pPr>
        <w:pStyle w:val="style0"/>
        <w:spacing w:line="480" w:lineRule="auto"/>
      </w:pPr>
      <w:r>
        <w:rPr>
          <w:rFonts w:ascii="Times New Roman" w:hAnsi="Times New Roman"/>
        </w:rPr>
      </w:r>
    </w:p>
    <w:p>
      <w:pPr>
        <w:pStyle w:val="style0"/>
        <w:spacing w:line="480" w:lineRule="auto"/>
        <w:ind w:firstLine="720" w:left="0" w:right="0"/>
      </w:pPr>
      <w:r>
        <w:rPr>
          <w:rFonts w:ascii="Times New Roman" w:cs="Times New Roman" w:hAnsi="Times New Roman"/>
          <w:smallCaps/>
        </w:rPr>
        <w:t>The systematics</w:t>
      </w:r>
      <w:r>
        <w:rPr>
          <w:rFonts w:ascii="Times New Roman" w:cs="Times New Roman" w:hAnsi="Times New Roman"/>
        </w:rPr>
        <w:t xml:space="preserve"> of the </w:t>
      </w:r>
      <w:r>
        <w:rPr>
          <w:rFonts w:ascii="Times New Roman" w:cs="Times New Roman" w:hAnsi="Times New Roman"/>
          <w:i/>
        </w:rPr>
        <w:t>Hylarana signata</w:t>
      </w:r>
      <w:r>
        <w:rPr>
          <w:rFonts w:ascii="Times New Roman" w:cs="Times New Roman" w:hAnsi="Times New Roman"/>
        </w:rPr>
        <w:t xml:space="preserve"> </w:t>
      </w:r>
      <w:r>
        <w:rPr>
          <w:rFonts w:ascii="Times New Roman" w:cs="Times New Roman" w:hAnsi="Times New Roman"/>
        </w:rPr>
        <w:t>C</w:t>
      </w:r>
      <w:r>
        <w:rPr>
          <w:rFonts w:ascii="Times New Roman" w:cs="Times New Roman" w:hAnsi="Times New Roman"/>
        </w:rPr>
        <w:t xml:space="preserve">omplex has been historically perplexing due to similarities in their morphology (Boulenger, 1920; Inger, 1954; Zainudin and Sazali, 2012). This is most apparent in Peninsular Malaysia where the species names </w:t>
      </w:r>
      <w:r>
        <w:rPr>
          <w:rFonts w:ascii="Times New Roman" w:cs="Times New Roman" w:hAnsi="Times New Roman"/>
          <w:i/>
        </w:rPr>
        <w:t>H. signata</w:t>
      </w:r>
      <w:r>
        <w:rPr>
          <w:rFonts w:ascii="Times New Roman" w:cs="Times New Roman" w:hAnsi="Times New Roman"/>
        </w:rPr>
        <w:t xml:space="preserve"> and </w:t>
      </w:r>
      <w:r>
        <w:rPr>
          <w:rFonts w:ascii="Times New Roman" w:cs="Times New Roman" w:hAnsi="Times New Roman"/>
          <w:i/>
        </w:rPr>
        <w:t>H. picturata</w:t>
      </w:r>
      <w:r>
        <w:rPr>
          <w:rFonts w:ascii="Times New Roman" w:cs="Times New Roman" w:hAnsi="Times New Roman"/>
        </w:rPr>
        <w:t xml:space="preserve"> have been applied inconsistently and interchangeably over the years (Taylor, 1962; Berry, 1975; Brown and Guttman, 2002). Species from this complex are generally characterized as riparian forest frogs with a dark-brown to black dorsum covered with orange spots, and having a distinct orange dorsolateral stripe (Inger, 1954, 1966). Paradoxically, although interspecies variation may be somewhat conserved (Brown and Guttman, 2002), polymorphism within populations/species is pronounced enough to render the identification of diagnostic morphological characters for species delimitation problematic (Zainudin and Sazali, 2012). </w:t>
      </w:r>
    </w:p>
    <w:p>
      <w:pPr>
        <w:pStyle w:val="style0"/>
        <w:spacing w:line="480" w:lineRule="auto"/>
        <w:ind w:firstLine="720" w:left="0" w:right="0"/>
      </w:pPr>
      <w:r>
        <w:rPr>
          <w:rFonts w:ascii="Times New Roman" w:cs="Times New Roman" w:hAnsi="Times New Roman"/>
        </w:rPr>
        <w:t xml:space="preserve">The most recent study of this complex described high altitudinal populations of </w:t>
      </w:r>
      <w:r>
        <w:rPr>
          <w:rFonts w:ascii="Times New Roman" w:cs="Times New Roman" w:hAnsi="Times New Roman"/>
        </w:rPr>
        <w:t>the</w:t>
      </w:r>
      <w:r>
        <w:rPr>
          <w:rFonts w:ascii="Times New Roman" w:cs="Times New Roman" w:hAnsi="Times New Roman"/>
        </w:rPr>
        <w:t xml:space="preserve"> </w:t>
      </w:r>
      <w:r>
        <w:rPr>
          <w:rFonts w:ascii="Times New Roman" w:cs="Times New Roman" w:hAnsi="Times New Roman"/>
          <w:i/>
        </w:rPr>
        <w:t>H. signata</w:t>
      </w:r>
      <w:r>
        <w:rPr>
          <w:rFonts w:ascii="Times New Roman" w:cs="Times New Roman" w:hAnsi="Times New Roman"/>
        </w:rPr>
        <w:t xml:space="preserve"> </w:t>
      </w:r>
      <w:r>
        <w:rPr>
          <w:rFonts w:ascii="Times New Roman" w:cs="Times New Roman" w:hAnsi="Times New Roman"/>
        </w:rPr>
        <w:t xml:space="preserve">Complex </w:t>
      </w:r>
      <w:r>
        <w:rPr>
          <w:rFonts w:ascii="Times New Roman" w:cs="Times New Roman" w:hAnsi="Times New Roman"/>
        </w:rPr>
        <w:t>from the Malay Peninsula as a distinct species (</w:t>
      </w:r>
      <w:r>
        <w:rPr>
          <w:rFonts w:ascii="Times New Roman" w:cs="Times New Roman" w:hAnsi="Times New Roman"/>
          <w:i/>
        </w:rPr>
        <w:t>H. banjarana</w:t>
      </w:r>
      <w:r>
        <w:rPr>
          <w:rFonts w:ascii="Times New Roman" w:cs="Times New Roman" w:hAnsi="Times New Roman"/>
        </w:rPr>
        <w:t xml:space="preserve">) based on adult and larval morphological differences (Leong and Lim, 2003). Another distinct population was discovered from a lowland primary forest in central Peninsular Malaysia (Leong and Lim, 2004). Known from only one specimen at that time, it was designated as </w:t>
      </w:r>
      <w:r>
        <w:rPr>
          <w:rFonts w:ascii="Times New Roman" w:cs="Times New Roman" w:hAnsi="Times New Roman"/>
          <w:i/>
        </w:rPr>
        <w:t>H. siberu</w:t>
      </w:r>
      <w:r>
        <w:rPr>
          <w:rFonts w:ascii="Times New Roman" w:cs="Times New Roman" w:hAnsi="Times New Roman"/>
        </w:rPr>
        <w:t xml:space="preserve"> (=</w:t>
      </w:r>
      <w:r>
        <w:rPr>
          <w:rFonts w:ascii="Times New Roman" w:cs="Times New Roman" w:hAnsi="Times New Roman"/>
          <w:i/>
        </w:rPr>
        <w:t>Rana siberu</w:t>
      </w:r>
      <w:r>
        <w:rPr>
          <w:rFonts w:ascii="Times New Roman" w:cs="Times New Roman" w:hAnsi="Times New Roman"/>
        </w:rPr>
        <w:t xml:space="preserve">), which at the time was only known from Siberut Island, off the southern coast of Sumatra (Dring et al., 1989). The hypothesized conspecificity of these two populations was based on them sharing the following characters: (1) entirely black dorsum without spots/blotches; (2) uninterrupted dorsolateral stripes from snout tip to vent, stripes red/deep orange in life; (3) lips, limbs and lower flanks with spots (vs. barrings), yellow in life; (4) males with enlarged humeral glands, paired subgular vocal sacs, without nuptial pads (Dring et al., 1989; Leong and Lim, 2004). Unfortunately, no tissue samples were taken from that specimen. An additional specimen was recently collected from the adjacent area (Chan and Norhayati, 2009), which allowed a more robust examination of the taxonomic and phylogenetic placement of </w:t>
      </w:r>
      <w:r>
        <w:rPr>
          <w:rFonts w:ascii="Times New Roman" w:cs="Times New Roman" w:hAnsi="Times New Roman"/>
        </w:rPr>
        <w:t>these</w:t>
      </w:r>
      <w:r>
        <w:rPr>
          <w:rFonts w:ascii="Times New Roman" w:cs="Times New Roman" w:hAnsi="Times New Roman"/>
        </w:rPr>
        <w:t xml:space="preserve"> disjunct population</w:t>
      </w:r>
      <w:r>
        <w:rPr>
          <w:rFonts w:ascii="Times New Roman" w:cs="Times New Roman" w:hAnsi="Times New Roman"/>
        </w:rPr>
        <w:t>s</w:t>
      </w:r>
      <w:r>
        <w:rPr>
          <w:rFonts w:ascii="Times New Roman" w:cs="Times New Roman" w:hAnsi="Times New Roman"/>
        </w:rPr>
        <w:t xml:space="preserve">. Being fully cognizant of the pitfalls of describing new lineages based on just two specimens, we evaluate </w:t>
      </w:r>
      <w:r>
        <w:rPr>
          <w:rFonts w:ascii="Times New Roman" w:cs="Times New Roman" w:hAnsi="Times New Roman"/>
        </w:rPr>
        <w:t>these</w:t>
      </w:r>
      <w:r>
        <w:rPr>
          <w:rFonts w:ascii="Times New Roman" w:cs="Times New Roman" w:hAnsi="Times New Roman"/>
        </w:rPr>
        <w:t xml:space="preserve"> population</w:t>
      </w:r>
      <w:r>
        <w:rPr>
          <w:rFonts w:ascii="Times New Roman" w:cs="Times New Roman" w:hAnsi="Times New Roman"/>
        </w:rPr>
        <w:t>s</w:t>
      </w:r>
      <w:r>
        <w:rPr>
          <w:rFonts w:ascii="Times New Roman" w:cs="Times New Roman" w:hAnsi="Times New Roman"/>
        </w:rPr>
        <w:t xml:space="preserve"> within the framework of a lineage-based, Unified  Species Concept (De Queiroz, 2005) and use morphological diagnosibility, phylogenetic relationships, genetic divergence, and geographic isolation as criteria for assessing lineage independence. Results from our analyses provide sufficient evidence to justify the recognition of this lineage as a new species, which is described herein. </w:t>
      </w:r>
    </w:p>
    <w:p>
      <w:pPr>
        <w:pStyle w:val="style0"/>
        <w:spacing w:line="480" w:lineRule="auto"/>
      </w:pPr>
      <w:r>
        <w:rPr>
          <w:rFonts w:ascii="Times New Roman" w:hAnsi="Times New Roman"/>
        </w:rPr>
      </w:r>
    </w:p>
    <w:p>
      <w:pPr>
        <w:pStyle w:val="style0"/>
        <w:spacing w:line="480" w:lineRule="auto"/>
        <w:jc w:val="center"/>
      </w:pPr>
      <w:r>
        <w:rPr>
          <w:rFonts w:ascii="Times New Roman" w:cs="Times New Roman" w:hAnsi="Times New Roman"/>
          <w:smallCaps/>
        </w:rPr>
        <w:t>Materials and Methods</w:t>
      </w:r>
    </w:p>
    <w:p>
      <w:pPr>
        <w:pStyle w:val="style0"/>
        <w:widowControl w:val="false"/>
        <w:spacing w:line="480" w:lineRule="auto"/>
      </w:pPr>
      <w:r>
        <w:rPr>
          <w:rFonts w:ascii="Times New Roman" w:hAnsi="Times New Roman"/>
        </w:rPr>
      </w:r>
    </w:p>
    <w:p>
      <w:pPr>
        <w:pStyle w:val="style0"/>
        <w:widowControl w:val="false"/>
        <w:spacing w:line="480" w:lineRule="auto"/>
      </w:pPr>
      <w:r>
        <w:rPr>
          <w:rFonts w:ascii="Times New Roman" w:cs="Times New Roman" w:hAnsi="Times New Roman"/>
          <w:i/>
        </w:rPr>
        <w:tab/>
        <w:t>Sampling.</w:t>
      </w:r>
      <w:r>
        <w:rPr>
          <w:rFonts w:ascii="Times New Roman" w:cs="Times New Roman" w:hAnsi="Times New Roman"/>
          <w:bCs/>
          <w:i/>
        </w:rPr>
        <w:t>—</w:t>
      </w:r>
      <w:r>
        <w:rPr>
          <w:rFonts w:ascii="Times New Roman" w:cs="Times New Roman" w:hAnsi="Times New Roman"/>
          <w:bCs/>
          <w:i w:val="false"/>
          <w:iCs w:val="false"/>
        </w:rPr>
        <w:t xml:space="preserve">Samples used for the molecular analyses include three for the outgroup and 19 for the ingroup. Outgroups were selected based on a prior study of the </w:t>
      </w:r>
      <w:r>
        <w:rPr>
          <w:rFonts w:ascii="Times New Roman" w:cs="Times New Roman" w:hAnsi="Times New Roman"/>
          <w:bCs/>
          <w:i/>
          <w:iCs/>
        </w:rPr>
        <w:t xml:space="preserve">signata </w:t>
      </w:r>
      <w:r>
        <w:rPr>
          <w:rFonts w:ascii="Times New Roman" w:cs="Times New Roman" w:hAnsi="Times New Roman"/>
          <w:bCs/>
          <w:i w:val="false"/>
          <w:iCs w:val="false"/>
        </w:rPr>
        <w:t>C</w:t>
      </w:r>
      <w:r>
        <w:rPr>
          <w:rFonts w:ascii="Times New Roman" w:cs="Times New Roman" w:hAnsi="Times New Roman"/>
          <w:bCs/>
          <w:i w:val="false"/>
          <w:iCs w:val="false"/>
        </w:rPr>
        <w:t>omplex (Brown and Guttman, 2002). The ingroup consists of four species that are endemic to the Philippines (</w:t>
      </w:r>
      <w:r>
        <w:rPr>
          <w:rFonts w:ascii="Times New Roman" w:cs="Times New Roman" w:hAnsi="Times New Roman"/>
          <w:bCs/>
          <w:i/>
          <w:iCs/>
        </w:rPr>
        <w:t xml:space="preserve">H. mangyanum, H. moellendorffi, grandocula, </w:t>
      </w:r>
      <w:r>
        <w:rPr>
          <w:rFonts w:ascii="Times New Roman" w:cs="Times New Roman" w:hAnsi="Times New Roman"/>
          <w:bCs/>
          <w:i w:val="false"/>
          <w:iCs w:val="false"/>
        </w:rPr>
        <w:t>and</w:t>
      </w:r>
      <w:r>
        <w:rPr>
          <w:rFonts w:ascii="Times New Roman" w:cs="Times New Roman" w:hAnsi="Times New Roman"/>
          <w:bCs/>
          <w:i/>
          <w:iCs/>
        </w:rPr>
        <w:t xml:space="preserve"> H. similis</w:t>
      </w:r>
      <w:r>
        <w:rPr>
          <w:rFonts w:ascii="Times New Roman" w:cs="Times New Roman" w:hAnsi="Times New Roman"/>
          <w:bCs/>
          <w:i w:val="false"/>
          <w:iCs w:val="false"/>
        </w:rPr>
        <w:t xml:space="preserve">); </w:t>
      </w:r>
      <w:r>
        <w:rPr>
          <w:rFonts w:ascii="Times New Roman" w:cs="Times New Roman" w:hAnsi="Times New Roman"/>
          <w:bCs/>
          <w:i/>
          <w:iCs/>
        </w:rPr>
        <w:t xml:space="preserve">H. picturata </w:t>
      </w:r>
      <w:r>
        <w:rPr>
          <w:rFonts w:ascii="Times New Roman" w:cs="Times New Roman" w:hAnsi="Times New Roman"/>
          <w:bCs/>
          <w:i w:val="false"/>
          <w:iCs w:val="false"/>
        </w:rPr>
        <w:t xml:space="preserve">and </w:t>
      </w:r>
      <w:r>
        <w:rPr>
          <w:rFonts w:ascii="Times New Roman" w:cs="Times New Roman" w:hAnsi="Times New Roman"/>
          <w:bCs/>
          <w:i/>
          <w:iCs/>
        </w:rPr>
        <w:t xml:space="preserve">H. signata </w:t>
      </w:r>
      <w:r>
        <w:rPr>
          <w:rFonts w:ascii="Times New Roman" w:cs="Times New Roman" w:hAnsi="Times New Roman"/>
          <w:bCs/>
          <w:i w:val="false"/>
          <w:iCs w:val="false"/>
        </w:rPr>
        <w:t>that are widespread throughout</w:t>
      </w:r>
      <w:r>
        <w:rPr>
          <w:rFonts w:ascii="Times New Roman" w:cs="Times New Roman" w:hAnsi="Times New Roman"/>
          <w:bCs/>
          <w:i w:val="false"/>
          <w:iCs w:val="false"/>
        </w:rPr>
        <w:t xml:space="preserve"> the Malay Peninsula, Sumatra, and Borneo; </w:t>
      </w:r>
      <w:r>
        <w:rPr>
          <w:rFonts w:ascii="Times New Roman" w:cs="Times New Roman" w:hAnsi="Times New Roman"/>
          <w:bCs/>
          <w:i/>
          <w:iCs/>
        </w:rPr>
        <w:t>H. siberu</w:t>
      </w:r>
      <w:r>
        <w:rPr>
          <w:rFonts w:ascii="Times New Roman" w:cs="Times New Roman" w:hAnsi="Times New Roman"/>
          <w:bCs/>
          <w:i w:val="false"/>
          <w:iCs w:val="false"/>
        </w:rPr>
        <w:t xml:space="preserve"> and an undescribed population from Sumatra; </w:t>
      </w:r>
      <w:r>
        <w:rPr>
          <w:rFonts w:ascii="Times New Roman" w:cs="Times New Roman" w:hAnsi="Times New Roman"/>
          <w:bCs/>
          <w:i/>
          <w:iCs/>
        </w:rPr>
        <w:t>H.</w:t>
      </w:r>
      <w:r>
        <w:rPr>
          <w:rFonts w:ascii="Times New Roman" w:cs="Times New Roman" w:hAnsi="Times New Roman"/>
          <w:bCs/>
          <w:i w:val="false"/>
          <w:iCs w:val="false"/>
        </w:rPr>
        <w:t xml:space="preserve"> </w:t>
      </w:r>
      <w:r>
        <w:rPr>
          <w:rFonts w:ascii="Times New Roman" w:cs="Times New Roman" w:hAnsi="Times New Roman"/>
          <w:bCs/>
          <w:i/>
          <w:iCs/>
        </w:rPr>
        <w:t>banjarana</w:t>
      </w:r>
      <w:r>
        <w:rPr>
          <w:rFonts w:ascii="Times New Roman" w:cs="Times New Roman" w:hAnsi="Times New Roman"/>
          <w:bCs/>
          <w:i w:val="false"/>
          <w:iCs w:val="false"/>
        </w:rPr>
        <w:t xml:space="preserve"> from the Malay Peninsula; and the new species from central Peninsular Malaysia (Table 2). </w:t>
      </w:r>
    </w:p>
    <w:p>
      <w:pPr>
        <w:pStyle w:val="style0"/>
        <w:widowControl w:val="false"/>
        <w:spacing w:line="480" w:lineRule="auto"/>
      </w:pPr>
      <w:r>
        <w:rPr>
          <w:rFonts w:ascii="Times New Roman" w:cs="Times New Roman" w:hAnsi="Times New Roman"/>
          <w:i/>
        </w:rPr>
        <w:tab/>
        <w:t>Morpholog</w:t>
      </w:r>
      <w:r>
        <w:rPr>
          <w:rFonts w:ascii="Times New Roman" w:cs="Times New Roman" w:hAnsi="Times New Roman"/>
          <w:i/>
        </w:rPr>
        <w:t>ical characters.</w:t>
      </w:r>
      <w:r>
        <w:rPr>
          <w:rFonts w:ascii="Times New Roman" w:cs="Times New Roman" w:hAnsi="Times New Roman"/>
          <w:bCs/>
          <w:i/>
        </w:rPr>
        <w:t>—</w:t>
      </w:r>
      <w:r>
        <w:rPr>
          <w:rFonts w:ascii="Times New Roman" w:cs="Times New Roman" w:hAnsi="Times New Roman"/>
        </w:rPr>
        <w:t xml:space="preserve">The following measurements were taken with Mitutoyo digimatic caliper to the nearest 0.1 mm: snout-vent-length (SVL), tip of snout to vent; head length (HL), posterior margin of lower jaw to tip of snout; head width (HW), taken immediately posterior to eyes; snout length (SL), anterior corner of the orbit to tip of snout; eye-nostril-distance (END), anterior corner of eye to posterior margin of nostril; nostril-snout-distance (NSD), anterior margin of nostril to tip of snout; internarial distance (IND), distance between nostrils; eye-to-eye-distance (EED), distance between anterior corners of both eyes; eye diameter (ED), distance between anterior and posterior corners of upper and lower eyelids; interorbital distance (IOD), distance across top of head between medial margins of orbits at their closest points; tympanum diameter (TD), horizontal width of tympanum at its widest point; tympanum-eye-distance (TED), shortest distance between anterior margin of tympanum and posterior corner of orbit; brachium length (BL), axilla to flexed elbow; forearm length (FAL), flexed elbow to base of inner metacarpal tubercle; femur length (FL), vent to outer margin of flexed knee; tibia length (TBL), outer margin of flexed knee to outer margin of flexed tarsus; tarsal length (TL), outer margin of flexed tarsus to base of inner metatarsal tubercle. Webbing formula follows Savage and Heyer (1997). </w:t>
      </w:r>
      <w:r>
        <w:rPr>
          <w:rFonts w:ascii="Times New Roman" w:cs="Times New Roman" w:hAnsi="Times New Roman"/>
          <w:bCs/>
          <w:i w:val="false"/>
          <w:iCs w:val="false"/>
        </w:rPr>
        <w:t xml:space="preserve">The new species was morphologically compared to all species from the </w:t>
      </w:r>
      <w:r>
        <w:rPr>
          <w:rFonts w:ascii="Times New Roman" w:cs="Times New Roman" w:hAnsi="Times New Roman"/>
          <w:bCs/>
          <w:i/>
          <w:iCs/>
        </w:rPr>
        <w:t>H. signata</w:t>
      </w:r>
      <w:r>
        <w:rPr>
          <w:rFonts w:ascii="Times New Roman" w:cs="Times New Roman" w:hAnsi="Times New Roman"/>
          <w:bCs/>
          <w:i w:val="false"/>
          <w:iCs w:val="false"/>
        </w:rPr>
        <w:t xml:space="preserve"> Complex and its relevant outgroups. </w:t>
      </w:r>
      <w:r>
        <w:rPr>
          <w:rFonts w:ascii="Times New Roman" w:cs="Times New Roman" w:hAnsi="Times New Roman"/>
          <w:bCs/>
          <w:i w:val="false"/>
          <w:iCs w:val="false"/>
        </w:rPr>
        <w:t>Voucher specimens of comparative material are listed in Appendix 1 of Brown and Guttman (2002).</w:t>
      </w:r>
      <w:r>
        <w:rPr>
          <w:rFonts w:ascii="Times New Roman" w:cs="Times New Roman" w:hAnsi="Times New Roman"/>
          <w:bCs/>
          <w:i w:val="false"/>
          <w:iCs w:val="false"/>
        </w:rPr>
        <w:t xml:space="preserve"> </w:t>
      </w:r>
      <w:r>
        <w:rPr>
          <w:rFonts w:ascii="Times New Roman" w:cs="Times New Roman" w:hAnsi="Times New Roman"/>
          <w:bCs/>
          <w:i w:val="false"/>
          <w:iCs w:val="false"/>
        </w:rPr>
        <w:t>T</w:t>
      </w:r>
      <w:r>
        <w:rPr>
          <w:rFonts w:ascii="Times New Roman" w:cs="Times New Roman" w:hAnsi="Times New Roman"/>
          <w:bCs/>
          <w:i w:val="false"/>
          <w:iCs w:val="false"/>
        </w:rPr>
        <w:t>he holotype has been deposited at the Raffles Museum of Biodiversity Research, Singapore; the paratype at University Kebangsaan Malaysia Herpetological Collection. Voucher abbreviations used are as follow: DWNP, Department of Wildlife and National Parks, Malaysia; FMNH, Field Museum of Natural History; KU, University of Kansas; ZRC, Zoological Reference Collection, Raffles Museum of Biodiversity Research, Singapore.</w:t>
      </w:r>
    </w:p>
    <w:p>
      <w:pPr>
        <w:pStyle w:val="style0"/>
        <w:widowControl w:val="false"/>
        <w:spacing w:line="480" w:lineRule="auto"/>
      </w:pPr>
      <w:r>
        <w:rPr>
          <w:rFonts w:ascii="Times New Roman" w:cs="Times New Roman" w:hAnsi="Times New Roman"/>
          <w:i/>
        </w:rPr>
        <w:tab/>
        <w:t>Molecular data.</w:t>
      </w:r>
      <w:r>
        <w:rPr>
          <w:rFonts w:ascii="Times New Roman" w:cs="Times New Roman" w:hAnsi="Times New Roman"/>
          <w:bCs/>
          <w:i/>
        </w:rPr>
        <w:t>—</w:t>
      </w:r>
      <w:r>
        <w:rPr>
          <w:rFonts w:ascii="Times New Roman" w:cs="Times New Roman" w:hAnsi="Times New Roman"/>
        </w:rPr>
        <w:t>Genomic DNA was extracted from liver using a modified Guanidine Thiocyanate extraction protocol developed by M. Fujita (Esselstyn et al., 2008). A 2434 nucleotide base-pair fragment of mitochondrial DNA that encodes part of the 12S–16S rRNA (and part of one flanking transfer RNA genes (tRNA</w:t>
      </w:r>
      <w:r>
        <w:rPr>
          <w:rFonts w:ascii="Times New Roman" w:cs="Times New Roman" w:hAnsi="Times New Roman"/>
          <w:vertAlign w:val="superscript"/>
        </w:rPr>
        <w:t>val</w:t>
      </w:r>
      <w:r>
        <w:rPr>
          <w:rFonts w:ascii="Times New Roman" w:cs="Times New Roman" w:hAnsi="Times New Roman"/>
        </w:rPr>
        <w:t xml:space="preserve">) gene was amplified in four fragments </w:t>
      </w:r>
      <w:r>
        <w:rPr>
          <w:rFonts w:ascii="Times New Roman" w:cs="Times New Roman" w:hAnsi="Times New Roman"/>
          <w:bCs/>
        </w:rPr>
        <w:t>using the polymerase chain reaction (PCR) and thermal profiles and primers in Evans et al. (2003)</w:t>
      </w:r>
      <w:r>
        <w:rPr>
          <w:rFonts w:ascii="Times New Roman" w:cs="Times New Roman" w:hAnsi="Times New Roman"/>
        </w:rPr>
        <w:t xml:space="preserve">. We </w:t>
      </w:r>
      <w:r>
        <w:rPr>
          <w:rFonts w:ascii="Times New Roman" w:cs="Times New Roman" w:hAnsi="Times New Roman"/>
          <w:bCs/>
        </w:rPr>
        <w:t xml:space="preserve">cleaned PCR products with ExoSAP-IT (USB) and </w:t>
      </w:r>
      <w:r>
        <w:rPr>
          <w:rFonts w:ascii="Times New Roman" w:cs="Times New Roman" w:hAnsi="Times New Roman"/>
          <w:bCs/>
          <w:color w:val="000000"/>
        </w:rPr>
        <w:t xml:space="preserve">sequenced cycle sequencing products </w:t>
      </w:r>
      <w:r>
        <w:rPr>
          <w:rFonts w:ascii="Times New Roman" w:cs="Times New Roman" w:hAnsi="Times New Roman"/>
          <w:bCs/>
        </w:rPr>
        <w:t xml:space="preserve">in both directions on a </w:t>
      </w:r>
      <w:r>
        <w:rPr>
          <w:rFonts w:ascii="Times New Roman" w:cs="Times New Roman" w:hAnsi="Times New Roman"/>
          <w:bCs/>
          <w:color w:val="000000"/>
        </w:rPr>
        <w:t>3130</w:t>
      </w:r>
      <w:r>
        <w:rPr>
          <w:rFonts w:ascii="Times New Roman" w:cs="Times New Roman" w:hAnsi="Times New Roman"/>
          <w:bCs/>
          <w:i/>
          <w:color w:val="000000"/>
        </w:rPr>
        <w:t>xl</w:t>
      </w:r>
      <w:r>
        <w:rPr>
          <w:rFonts w:ascii="Times New Roman" w:cs="Times New Roman" w:hAnsi="Times New Roman"/>
          <w:bCs/>
          <w:color w:val="000000"/>
        </w:rPr>
        <w:t xml:space="preserve"> DNA Analyzer (Applied Biosystems) </w:t>
      </w:r>
      <w:r>
        <w:rPr>
          <w:rFonts w:ascii="Times New Roman" w:cs="Times New Roman" w:hAnsi="Times New Roman"/>
          <w:bCs/>
        </w:rPr>
        <w:t>using the same primers and Big Dye v3 chemistry (Perkin Elmer). We assembled consensus sequences in Sequencher v. 4.1 (Genecodes), manually edited resulting contigs in McClade 4.07 (</w:t>
      </w:r>
      <w:r>
        <w:rPr>
          <w:rFonts w:ascii="Times New Roman" w:cs="Times New Roman" w:hAnsi="Times New Roman"/>
        </w:rPr>
        <w:t>Maddison and Maddison, 2005</w:t>
      </w:r>
      <w:r>
        <w:rPr>
          <w:rFonts w:ascii="Times New Roman" w:cs="Times New Roman" w:hAnsi="Times New Roman"/>
          <w:bCs/>
        </w:rPr>
        <w:t xml:space="preserve">) and excluded hypervariable regions for which unequivocal homology assessments could not be confidently ascertained.  Data are deposited in GenBank under accession numbers </w:t>
      </w:r>
      <w:r>
        <w:rPr>
          <w:rFonts w:ascii="Times New Roman" w:cs="Times New Roman" w:hAnsi="Times New Roman"/>
        </w:rPr>
        <w:t>XXXX–XX (Table 2).</w:t>
      </w:r>
    </w:p>
    <w:p>
      <w:pPr>
        <w:pStyle w:val="style0"/>
        <w:spacing w:line="480" w:lineRule="auto"/>
      </w:pPr>
      <w:r>
        <w:rPr>
          <w:rFonts w:ascii="Times New Roman" w:hAnsi="Times New Roman"/>
        </w:rPr>
      </w:r>
    </w:p>
    <w:p>
      <w:pPr>
        <w:pStyle w:val="style35"/>
        <w:spacing w:line="480" w:lineRule="auto"/>
        <w:jc w:val="center"/>
      </w:pPr>
      <w:r>
        <w:rPr>
          <w:rFonts w:ascii="Times New Roman" w:hAnsi="Times New Roman"/>
          <w:i/>
          <w:sz w:val="24"/>
          <w:szCs w:val="24"/>
        </w:rPr>
        <w:t>Phylogenetic analyses</w:t>
      </w:r>
    </w:p>
    <w:p>
      <w:pPr>
        <w:pStyle w:val="style35"/>
        <w:spacing w:line="480" w:lineRule="auto"/>
      </w:pPr>
      <w:r>
        <w:rPr>
          <w:rFonts w:ascii="Times New Roman" w:hAnsi="Times New Roman"/>
          <w:sz w:val="24"/>
          <w:szCs w:val="24"/>
        </w:rPr>
        <w:t xml:space="preserve">An unpartitioned maximum likelihood (ML) analysis was conducted in RAxML version 7.2.8 (Stamatakis, 2006) using the GTR + </w:t>
      </w:r>
      <w:r>
        <w:rPr>
          <w:rFonts w:ascii="Times New Roman" w:hAnsi="Times New Roman"/>
          <w:bCs/>
          <w:color w:val="000000"/>
          <w:sz w:val="24"/>
          <w:szCs w:val="24"/>
          <w:shd w:fill="FFFFFF" w:val="clear"/>
          <w:lang w:val="el-GR"/>
        </w:rPr>
        <w:t>Γ</w:t>
      </w:r>
      <w:r>
        <w:rPr>
          <w:rFonts w:ascii="Times New Roman" w:hAnsi="Times New Roman"/>
          <w:sz w:val="24"/>
          <w:szCs w:val="24"/>
        </w:rPr>
        <w:t xml:space="preserve"> + I model of nucleotide substitution as selected under the Akaike Information Criterion (AIC; implemented in jModeltest v0.1.1; Posada and Crandall, 2008), with 100 replicate best-tree inferences, employing a random starting tree for each inference. We assessed clade support with 1000 bootstrap replicates. GAMMA + P-Invar model parameters were estimated up to an accuracy of 0.001 Log Likelihood units. A Bayesian analysis was performed in </w:t>
      </w:r>
      <w:r>
        <w:rPr>
          <w:rFonts w:ascii="Times New Roman" w:hAnsi="Times New Roman"/>
          <w:smallCaps/>
          <w:sz w:val="24"/>
          <w:szCs w:val="24"/>
        </w:rPr>
        <w:t>MrBayes</w:t>
      </w:r>
      <w:r>
        <w:rPr>
          <w:rFonts w:ascii="Times New Roman" w:hAnsi="Times New Roman"/>
          <w:sz w:val="24"/>
          <w:szCs w:val="24"/>
        </w:rPr>
        <w:t xml:space="preserve"> v3.2.1 (Ronquist and Huelsenbeck, 2003) under the same nucleotide </w:t>
      </w:r>
      <w:r>
        <w:rPr>
          <w:rFonts w:ascii="Times New Roman" w:hAnsi="Times New Roman"/>
          <w:sz w:val="24"/>
          <w:szCs w:val="24"/>
        </w:rPr>
        <w:t>substitution</w:t>
      </w:r>
      <w:r>
        <w:rPr>
          <w:rFonts w:ascii="Times New Roman" w:hAnsi="Times New Roman"/>
          <w:sz w:val="24"/>
          <w:szCs w:val="24"/>
        </w:rPr>
        <w:t xml:space="preserve"> model. We employed two separate MCMC analyses, each with four Metropolis-coupled chains (temperature setting = 0.02; exponential distribution with a rate parameter of 25 as a branch length prior). We ran analyses for 10 million generations, with parameters and topology sampling every 2000 generations, discarding the first 25% as burn-in. Using the program Tracer v1.4 (Rambaut and Drummond, 2007), ESS values were inspected to evaluate stationarity and convergence. </w:t>
      </w:r>
      <w:r>
        <w:rPr>
          <w:rFonts w:ascii="Times New Roman" w:hAnsi="Times New Roman"/>
          <w:bCs/>
          <w:sz w:val="24"/>
          <w:szCs w:val="24"/>
        </w:rPr>
        <w:t xml:space="preserve">Pairwise distances were calculated using </w:t>
      </w:r>
      <w:r>
        <w:rPr>
          <w:rFonts w:ascii="Times New Roman" w:hAnsi="Times New Roman"/>
          <w:sz w:val="24"/>
          <w:szCs w:val="24"/>
        </w:rPr>
        <w:t>PAUP* 4.0b10 (Swofford, 2002).</w:t>
      </w:r>
    </w:p>
    <w:p>
      <w:pPr>
        <w:pStyle w:val="style0"/>
        <w:spacing w:line="480" w:lineRule="auto"/>
      </w:pPr>
      <w:r>
        <w:rPr>
          <w:rFonts w:ascii="Times New Roman" w:hAnsi="Times New Roman"/>
        </w:rPr>
      </w:r>
    </w:p>
    <w:p>
      <w:pPr>
        <w:pStyle w:val="style0"/>
        <w:spacing w:line="480" w:lineRule="auto"/>
        <w:jc w:val="center"/>
      </w:pPr>
      <w:r>
        <w:rPr>
          <w:rFonts w:ascii="Times New Roman" w:cs="Times New Roman" w:hAnsi="Times New Roman"/>
          <w:smallCaps/>
        </w:rPr>
        <w:t>Results</w:t>
      </w:r>
    </w:p>
    <w:p>
      <w:pPr>
        <w:pStyle w:val="style0"/>
        <w:spacing w:line="480" w:lineRule="auto"/>
        <w:jc w:val="center"/>
      </w:pPr>
      <w:r>
        <w:rPr>
          <w:rFonts w:ascii="Times New Roman" w:cs="Times New Roman" w:hAnsi="Times New Roman"/>
          <w:i/>
          <w:iCs/>
        </w:rPr>
        <w:t>Phylogenetic Analyses</w:t>
      </w:r>
    </w:p>
    <w:p>
      <w:pPr>
        <w:pStyle w:val="style0"/>
        <w:spacing w:line="480" w:lineRule="auto"/>
      </w:pPr>
      <w:r>
        <w:rPr>
          <w:rFonts w:ascii="Times New Roman" w:cs="Times New Roman" w:hAnsi="Times New Roman"/>
        </w:rPr>
        <w:t xml:space="preserve">Sequences included 554 (out of 1,015) variable characters for </w:t>
      </w:r>
      <w:r>
        <w:rPr>
          <w:rFonts w:ascii="Times New Roman" w:cs="Times New Roman" w:hAnsi="Times New Roman"/>
          <w:i w:val="false"/>
          <w:iCs w:val="false"/>
        </w:rPr>
        <w:t>12S</w:t>
      </w:r>
      <w:r>
        <w:rPr>
          <w:rFonts w:ascii="Times New Roman" w:cs="Times New Roman" w:hAnsi="Times New Roman"/>
        </w:rPr>
        <w:t xml:space="preserve"> + tRNA</w:t>
      </w:r>
      <w:r>
        <w:rPr>
          <w:rFonts w:ascii="Times New Roman" w:cs="Times New Roman" w:hAnsi="Times New Roman"/>
          <w:vertAlign w:val="superscript"/>
        </w:rPr>
        <w:t>val</w:t>
      </w:r>
      <w:r>
        <w:rPr>
          <w:rFonts w:ascii="Times New Roman" w:cs="Times New Roman" w:hAnsi="Times New Roman"/>
        </w:rPr>
        <w:t xml:space="preserve"> and 753 (out of 1,435) for </w:t>
      </w:r>
      <w:r>
        <w:rPr>
          <w:rFonts w:ascii="Times New Roman" w:cs="Times New Roman" w:hAnsi="Times New Roman"/>
          <w:i w:val="false"/>
          <w:iCs w:val="false"/>
        </w:rPr>
        <w:t>16S</w:t>
      </w:r>
      <w:r>
        <w:rPr>
          <w:rFonts w:ascii="Times New Roman" w:cs="Times New Roman" w:hAnsi="Times New Roman"/>
        </w:rPr>
        <w:t xml:space="preserve">.  Resulting topologies recovered high bootstrap support (ML) and posterior probabilities, which were congruent across all nodes.  Malaysian </w:t>
      </w:r>
      <w:r>
        <w:rPr>
          <w:rFonts w:ascii="Times New Roman" w:cs="Times New Roman" w:hAnsi="Times New Roman"/>
          <w:i/>
        </w:rPr>
        <w:t>Hylarana banjarana</w:t>
      </w:r>
      <w:r>
        <w:rPr>
          <w:rFonts w:ascii="Times New Roman" w:cs="Times New Roman" w:hAnsi="Times New Roman"/>
        </w:rPr>
        <w:t xml:space="preserve"> was reconstructed as the first-diverging species in the </w:t>
      </w:r>
      <w:r>
        <w:rPr>
          <w:rFonts w:ascii="Times New Roman" w:cs="Times New Roman" w:hAnsi="Times New Roman"/>
          <w:i/>
        </w:rPr>
        <w:t xml:space="preserve">H. signata </w:t>
      </w:r>
      <w:r>
        <w:rPr>
          <w:rFonts w:ascii="Times New Roman" w:cs="Times New Roman" w:hAnsi="Times New Roman"/>
        </w:rPr>
        <w:t xml:space="preserve">Group species (Brown and Guttman, 2002). The next diverging lineage consists of the Siberut Island endemic </w:t>
      </w:r>
      <w:r>
        <w:rPr>
          <w:rFonts w:ascii="Times New Roman" w:cs="Times New Roman" w:hAnsi="Times New Roman"/>
          <w:i/>
        </w:rPr>
        <w:t>H. siberu</w:t>
      </w:r>
      <w:r>
        <w:rPr>
          <w:rFonts w:ascii="Times New Roman" w:cs="Times New Roman" w:hAnsi="Times New Roman"/>
        </w:rPr>
        <w:t>,</w:t>
      </w:r>
      <w:r>
        <w:rPr>
          <w:rFonts w:ascii="Times New Roman" w:cs="Times New Roman" w:hAnsi="Times New Roman"/>
          <w:i/>
        </w:rPr>
        <w:t xml:space="preserve"> </w:t>
      </w:r>
      <w:r>
        <w:rPr>
          <w:rFonts w:ascii="Times New Roman" w:cs="Times New Roman" w:hAnsi="Times New Roman"/>
        </w:rPr>
        <w:t xml:space="preserve">the undescribed species from </w:t>
      </w:r>
      <w:r>
        <w:rPr>
          <w:rFonts w:ascii="Times New Roman" w:cs="Times New Roman" w:hAnsi="Times New Roman"/>
        </w:rPr>
        <w:t>Peninsular Malaysia</w:t>
      </w:r>
      <w:r>
        <w:rPr>
          <w:rFonts w:ascii="Times New Roman" w:cs="Times New Roman" w:hAnsi="Times New Roman"/>
        </w:rPr>
        <w:t xml:space="preserve">, and a related and undescribed high-elevation Sumatran species.  The remaining </w:t>
      </w:r>
      <w:r>
        <w:rPr>
          <w:rFonts w:ascii="Times New Roman" w:cs="Times New Roman" w:hAnsi="Times New Roman"/>
          <w:i/>
        </w:rPr>
        <w:t>H. signata</w:t>
      </w:r>
      <w:r>
        <w:rPr>
          <w:rFonts w:ascii="Times New Roman" w:cs="Times New Roman" w:hAnsi="Times New Roman"/>
        </w:rPr>
        <w:t xml:space="preserve"> </w:t>
      </w:r>
      <w:r>
        <w:rPr>
          <w:rFonts w:ascii="Times New Roman" w:cs="Times New Roman" w:hAnsi="Times New Roman"/>
        </w:rPr>
        <w:t>C</w:t>
      </w:r>
      <w:r>
        <w:rPr>
          <w:rFonts w:ascii="Times New Roman" w:cs="Times New Roman" w:hAnsi="Times New Roman"/>
        </w:rPr>
        <w:t xml:space="preserve">omplex taxa fall into a clade from islands of Sundaland and the Philippines, with </w:t>
      </w:r>
      <w:r>
        <w:rPr>
          <w:rFonts w:ascii="Times New Roman" w:cs="Times New Roman" w:hAnsi="Times New Roman"/>
          <w:i/>
        </w:rPr>
        <w:t>H. picturata</w:t>
      </w:r>
      <w:r>
        <w:rPr>
          <w:rFonts w:ascii="Times New Roman" w:cs="Times New Roman" w:hAnsi="Times New Roman"/>
        </w:rPr>
        <w:t xml:space="preserve">, and </w:t>
      </w:r>
      <w:r>
        <w:rPr>
          <w:rFonts w:ascii="Times New Roman" w:cs="Times New Roman" w:hAnsi="Times New Roman"/>
          <w:i/>
        </w:rPr>
        <w:t>H. signata</w:t>
      </w:r>
      <w:r>
        <w:rPr>
          <w:rFonts w:ascii="Times New Roman" w:cs="Times New Roman" w:hAnsi="Times New Roman"/>
        </w:rPr>
        <w:t xml:space="preserve"> estimated to be distantly related to </w:t>
      </w:r>
      <w:r>
        <w:rPr>
          <w:rFonts w:ascii="Times New Roman" w:cs="Times New Roman" w:hAnsi="Times New Roman"/>
        </w:rPr>
        <w:t>the Peninsular Malaysian population (Fig. 1). Within its clade, the Peninsular Malaysian population is substantially genetically diverge</w:t>
      </w:r>
      <w:r>
        <w:rPr>
          <w:rFonts w:ascii="Times New Roman" w:cs="Times New Roman" w:hAnsi="Times New Roman"/>
        </w:rPr>
        <w:t>nt</w:t>
      </w:r>
      <w:r>
        <w:rPr>
          <w:rFonts w:ascii="Times New Roman" w:cs="Times New Roman" w:hAnsi="Times New Roman"/>
          <w:i w:val="false"/>
          <w:iCs w:val="false"/>
        </w:rPr>
        <w:t xml:space="preserve"> from its closest relative</w:t>
      </w:r>
      <w:r>
        <w:rPr>
          <w:rFonts w:ascii="Times New Roman" w:cs="Times New Roman" w:hAnsi="Times New Roman"/>
          <w:i w:val="false"/>
          <w:iCs w:val="false"/>
        </w:rPr>
        <w:t>s</w:t>
      </w:r>
      <w:r>
        <w:rPr>
          <w:rFonts w:ascii="Times New Roman" w:cs="Times New Roman" w:hAnsi="Times New Roman"/>
          <w:i w:val="false"/>
          <w:iCs w:val="false"/>
        </w:rPr>
        <w:t xml:space="preserve"> </w:t>
      </w:r>
      <w:r>
        <w:rPr>
          <w:rFonts w:ascii="Times New Roman" w:cs="Times New Roman" w:hAnsi="Times New Roman"/>
          <w:i/>
          <w:iCs/>
        </w:rPr>
        <w:t xml:space="preserve">H. siberu </w:t>
      </w:r>
      <w:r>
        <w:rPr>
          <w:rFonts w:ascii="Times New Roman" w:cs="Times New Roman" w:hAnsi="Times New Roman"/>
          <w:i w:val="false"/>
          <w:iCs w:val="false"/>
        </w:rPr>
        <w:t xml:space="preserve">(8% uncorrected </w:t>
      </w:r>
      <w:bookmarkStart w:id="0" w:name="__UnoMark__15339_63325754"/>
      <w:bookmarkEnd w:id="0"/>
      <w:r>
        <w:rPr>
          <w:rFonts w:ascii="Times New Roman" w:cs="Times New Roman" w:hAnsi="Times New Roman"/>
          <w:i/>
          <w:iCs/>
        </w:rPr>
        <w:t>p</w:t>
      </w:r>
      <w:r>
        <w:rPr>
          <w:rFonts w:ascii="Times New Roman" w:cs="Times New Roman" w:hAnsi="Times New Roman"/>
          <w:i w:val="false"/>
          <w:iCs w:val="false"/>
        </w:rPr>
        <w:t xml:space="preserve">-distance) and </w:t>
      </w:r>
      <w:r>
        <w:rPr>
          <w:rFonts w:ascii="Times New Roman" w:cs="Times New Roman" w:hAnsi="Times New Roman"/>
          <w:i/>
          <w:iCs/>
        </w:rPr>
        <w:t>H.</w:t>
      </w:r>
      <w:r>
        <w:rPr>
          <w:rFonts w:ascii="Times New Roman" w:cs="Times New Roman" w:hAnsi="Times New Roman"/>
          <w:i w:val="false"/>
          <w:iCs w:val="false"/>
        </w:rPr>
        <w:t xml:space="preserve"> sp. Sumatra (10%).</w:t>
      </w:r>
      <w:r>
        <w:rPr>
          <w:rFonts w:ascii="Times New Roman" w:cs="Times New Roman" w:hAnsi="Times New Roman"/>
          <w:i w:val="false"/>
          <w:iCs w:val="false"/>
        </w:rPr>
        <w:t xml:space="preserve">  </w:t>
      </w:r>
    </w:p>
    <w:p>
      <w:pPr>
        <w:pStyle w:val="style0"/>
        <w:spacing w:line="480" w:lineRule="auto"/>
      </w:pPr>
      <w:r>
        <w:rPr>
          <w:rFonts w:ascii="Times New Roman" w:hAnsi="Times New Roman"/>
        </w:rPr>
      </w:r>
    </w:p>
    <w:p>
      <w:pPr>
        <w:pStyle w:val="style0"/>
        <w:spacing w:line="480" w:lineRule="auto"/>
        <w:jc w:val="center"/>
      </w:pPr>
      <w:r>
        <w:rPr>
          <w:rFonts w:ascii="Times New Roman" w:cs="Times New Roman" w:hAnsi="Times New Roman"/>
          <w:i/>
          <w:iCs/>
          <w:caps w:val="false"/>
          <w:smallCaps w:val="false"/>
        </w:rPr>
        <w:t>Systematics</w:t>
      </w:r>
    </w:p>
    <w:p>
      <w:pPr>
        <w:pStyle w:val="style0"/>
        <w:spacing w:line="480" w:lineRule="auto"/>
        <w:jc w:val="left"/>
      </w:pPr>
      <w:r>
        <w:rPr>
          <w:rFonts w:ascii="Times New Roman" w:cs="Times New Roman" w:hAnsi="Times New Roman"/>
          <w:i w:val="false"/>
          <w:iCs w:val="false"/>
          <w:caps w:val="false"/>
          <w:smallCaps w:val="false"/>
        </w:rPr>
        <w:tab/>
        <w:t xml:space="preserve">Results from </w:t>
      </w:r>
      <w:r>
        <w:rPr>
          <w:rFonts w:ascii="Times New Roman" w:cs="Times New Roman" w:hAnsi="Times New Roman"/>
          <w:i w:val="false"/>
          <w:iCs w:val="false"/>
          <w:caps w:val="false"/>
          <w:smallCaps w:val="false"/>
        </w:rPr>
        <w:t xml:space="preserve">our phylogenetic analyses clearly demonstrate that the </w:t>
      </w:r>
      <w:r>
        <w:rPr>
          <w:rFonts w:ascii="Times New Roman" w:cs="Times New Roman" w:hAnsi="Times New Roman"/>
          <w:i/>
          <w:iCs/>
          <w:caps w:val="false"/>
          <w:smallCaps w:val="false"/>
        </w:rPr>
        <w:t>Hylarana</w:t>
      </w:r>
      <w:r>
        <w:rPr>
          <w:rFonts w:ascii="Times New Roman" w:cs="Times New Roman" w:hAnsi="Times New Roman"/>
          <w:i w:val="false"/>
          <w:iCs w:val="false"/>
          <w:caps w:val="false"/>
          <w:smallCaps w:val="false"/>
        </w:rPr>
        <w:t xml:space="preserve"> from central Peninsular Malaysia is not conspecific with </w:t>
      </w:r>
      <w:r>
        <w:rPr>
          <w:rFonts w:ascii="Times New Roman" w:cs="Times New Roman" w:hAnsi="Times New Roman"/>
          <w:i/>
          <w:iCs/>
          <w:caps w:val="false"/>
          <w:smallCaps w:val="false"/>
        </w:rPr>
        <w:t>H. siberu</w:t>
      </w:r>
      <w:r>
        <w:rPr>
          <w:rFonts w:ascii="Times New Roman" w:cs="Times New Roman" w:hAnsi="Times New Roman"/>
          <w:i w:val="false"/>
          <w:iCs w:val="false"/>
          <w:caps w:val="false"/>
          <w:smallCaps w:val="false"/>
        </w:rPr>
        <w:t xml:space="preserve"> but represents a genetically divergent lineage. We further provide morphological evidence to show that this population warrants specific recognition and is herein described as a new species.</w:t>
      </w:r>
    </w:p>
    <w:p>
      <w:pPr>
        <w:pStyle w:val="style0"/>
        <w:spacing w:line="480" w:lineRule="auto"/>
        <w:jc w:val="center"/>
      </w:pPr>
      <w:r>
        <w:rPr>
          <w:rFonts w:ascii="Times New Roman" w:cs="Times New Roman" w:hAnsi="Times New Roman"/>
        </w:rPr>
        <w:t>Hylarana</w:t>
      </w:r>
      <w:r>
        <w:rPr>
          <w:rFonts w:ascii="Times New Roman" w:cs="Times New Roman" w:hAnsi="Times New Roman"/>
          <w:i/>
        </w:rPr>
        <w:t xml:space="preserve"> </w:t>
      </w:r>
      <w:r>
        <w:rPr>
          <w:rFonts w:ascii="Times New Roman" w:cs="Times New Roman" w:hAnsi="Times New Roman"/>
          <w:b/>
        </w:rPr>
        <w:t>centropeninsularis</w:t>
      </w:r>
      <w:r>
        <w:rPr>
          <w:rFonts w:ascii="Times New Roman" w:cs="Times New Roman" w:hAnsi="Times New Roman"/>
        </w:rPr>
        <w:t xml:space="preserve"> </w:t>
      </w:r>
      <w:r>
        <w:rPr>
          <w:rFonts w:ascii="Times New Roman" w:cs="Times New Roman" w:hAnsi="Times New Roman"/>
          <w:i/>
        </w:rPr>
        <w:t>sp. nov.</w:t>
      </w:r>
    </w:p>
    <w:p>
      <w:pPr>
        <w:pStyle w:val="style0"/>
        <w:spacing w:line="480" w:lineRule="auto"/>
        <w:jc w:val="center"/>
      </w:pPr>
      <w:r>
        <w:rPr>
          <w:rFonts w:ascii="Times New Roman" w:cs="Times New Roman" w:hAnsi="Times New Roman"/>
        </w:rPr>
        <w:t xml:space="preserve">Figs. </w:t>
      </w:r>
      <w:r>
        <w:rPr>
          <w:rFonts w:ascii="Times New Roman" w:cs="Times New Roman" w:hAnsi="Times New Roman"/>
        </w:rPr>
        <w:t>2</w:t>
      </w:r>
      <w:r>
        <w:rPr>
          <w:rFonts w:ascii="Times New Roman" w:cs="Times New Roman" w:hAnsi="Times New Roman"/>
          <w:bCs/>
        </w:rPr>
        <w:t>, 3A</w:t>
      </w:r>
    </w:p>
    <w:p>
      <w:pPr>
        <w:pStyle w:val="style0"/>
        <w:spacing w:line="480" w:lineRule="auto"/>
      </w:pPr>
      <w:r>
        <w:rPr>
          <w:rFonts w:ascii="Times New Roman" w:hAnsi="Times New Roman"/>
        </w:rPr>
      </w:r>
    </w:p>
    <w:p>
      <w:pPr>
        <w:pStyle w:val="style0"/>
        <w:spacing w:line="480" w:lineRule="auto"/>
      </w:pPr>
      <w:r>
        <w:rPr>
          <w:rFonts w:ascii="Times New Roman" w:cs="Times New Roman" w:hAnsi="Times New Roman"/>
          <w:i/>
        </w:rPr>
        <w:t>Rana siberu</w:t>
      </w:r>
      <w:r>
        <w:rPr>
          <w:rFonts w:ascii="Times New Roman" w:cs="Times New Roman" w:hAnsi="Times New Roman"/>
        </w:rPr>
        <w:t xml:space="preserve"> Leong and Lim, 2004:261 </w:t>
      </w:r>
    </w:p>
    <w:p>
      <w:pPr>
        <w:pStyle w:val="style0"/>
        <w:spacing w:line="480" w:lineRule="auto"/>
      </w:pPr>
      <w:r>
        <w:rPr>
          <w:rFonts w:ascii="Times New Roman" w:cs="Times New Roman" w:hAnsi="Times New Roman"/>
          <w:i/>
        </w:rPr>
        <w:t>Hylarana siberu</w:t>
      </w:r>
      <w:r>
        <w:rPr>
          <w:rFonts w:ascii="Times New Roman" w:cs="Times New Roman" w:hAnsi="Times New Roman"/>
        </w:rPr>
        <w:t xml:space="preserve"> Chan and Norhayati, 2009:295; Chan et al</w:t>
      </w:r>
      <w:r>
        <w:rPr>
          <w:rFonts w:ascii="Times New Roman" w:cs="Times New Roman" w:hAnsi="Times New Roman"/>
          <w:i/>
        </w:rPr>
        <w:t>.</w:t>
      </w:r>
      <w:r>
        <w:rPr>
          <w:rFonts w:ascii="Times New Roman" w:cs="Times New Roman" w:hAnsi="Times New Roman"/>
        </w:rPr>
        <w:t>, 2010:203</w:t>
      </w:r>
    </w:p>
    <w:p>
      <w:pPr>
        <w:pStyle w:val="style0"/>
        <w:spacing w:line="480" w:lineRule="auto"/>
      </w:pPr>
      <w:r>
        <w:rPr>
          <w:rFonts w:ascii="Times New Roman" w:hAnsi="Times New Roman"/>
        </w:rPr>
      </w:r>
    </w:p>
    <w:p>
      <w:pPr>
        <w:pStyle w:val="style0"/>
        <w:spacing w:line="480" w:lineRule="auto"/>
        <w:ind w:firstLine="720" w:left="0" w:right="0"/>
      </w:pPr>
      <w:r>
        <w:rPr>
          <w:rFonts w:ascii="Times New Roman" w:cs="Times New Roman" w:hAnsi="Times New Roman"/>
          <w:i/>
        </w:rPr>
        <w:t>Holotype</w:t>
      </w:r>
      <w:r>
        <w:rPr>
          <w:rFonts w:ascii="Times New Roman" w:cs="Times New Roman" w:hAnsi="Times New Roman"/>
        </w:rPr>
        <w:t>.</w:t>
      </w:r>
      <w:r>
        <w:rPr>
          <w:rFonts w:ascii="Times New Roman" w:cs="Times New Roman" w:hAnsi="Times New Roman"/>
          <w:bCs/>
        </w:rPr>
        <w:t>—</w:t>
      </w:r>
      <w:r>
        <w:rPr>
          <w:rFonts w:ascii="Times New Roman" w:cs="Times New Roman" w:hAnsi="Times New Roman"/>
        </w:rPr>
        <w:t xml:space="preserve">Adult male (ZRC1.10536; Fig. 2), collected by C.H. Lim on 17 March 2003 (ca. 2200 hrs) at Sungai Temir, within the Lakum forest reserve, Raub, Pahang, </w:t>
      </w:r>
      <w:r>
        <w:rPr>
          <w:rFonts w:ascii="Times New Roman" w:cs="Times New Roman" w:hAnsi="Times New Roman"/>
        </w:rPr>
        <w:t>Malaysia</w:t>
      </w:r>
      <w:r>
        <w:rPr>
          <w:rFonts w:ascii="Times New Roman" w:cs="Times New Roman" w:hAnsi="Times New Roman"/>
        </w:rPr>
        <w:t xml:space="preserve"> (3°40’N, 101°55’E; </w:t>
      </w:r>
      <w:r>
        <w:rPr>
          <w:rFonts w:ascii="Times New Roman" w:cs="Times New Roman" w:hAnsi="Times New Roman"/>
        </w:rPr>
        <w:t xml:space="preserve">105 m above sea level; </w:t>
      </w:r>
      <w:r>
        <w:rPr>
          <w:rFonts w:ascii="Times New Roman" w:cs="Times New Roman" w:hAnsi="Times New Roman"/>
        </w:rPr>
        <w:t>datum = WGS84).</w:t>
      </w:r>
    </w:p>
    <w:p>
      <w:pPr>
        <w:pStyle w:val="style0"/>
        <w:widowControl w:val="false"/>
        <w:spacing w:line="480" w:lineRule="auto"/>
        <w:ind w:firstLine="720" w:left="0" w:right="0"/>
      </w:pPr>
      <w:r>
        <w:rPr>
          <w:rFonts w:ascii="Times New Roman" w:cs="Times New Roman" w:hAnsi="Times New Roman"/>
          <w:i/>
        </w:rPr>
        <w:t>Paratype</w:t>
      </w:r>
      <w:r>
        <w:rPr>
          <w:rFonts w:ascii="Times New Roman" w:cs="Times New Roman" w:hAnsi="Times New Roman"/>
        </w:rPr>
        <w:t>.</w:t>
      </w:r>
      <w:r>
        <w:rPr>
          <w:rFonts w:ascii="Times New Roman" w:cs="Times New Roman" w:hAnsi="Times New Roman"/>
          <w:bCs/>
        </w:rPr>
        <w:t xml:space="preserve">— Adult male (DWNP 1189; Fig. 3A), collected </w:t>
      </w:r>
      <w:r>
        <w:rPr>
          <w:rFonts w:ascii="Times New Roman" w:cs="Times New Roman" w:hAnsi="Times New Roman"/>
          <w:bCs/>
        </w:rPr>
        <w:t xml:space="preserve">by Juliana Senawi on 27 April 2006 </w:t>
      </w:r>
      <w:r>
        <w:rPr>
          <w:rFonts w:ascii="Times New Roman" w:cs="Times New Roman" w:hAnsi="Times New Roman"/>
          <w:bCs/>
        </w:rPr>
        <w:t xml:space="preserve">in pit-fall trap at Kuala Gandah, Pahang, Malaysia (3°35'N, 102°8'E; </w:t>
      </w:r>
      <w:r>
        <w:rPr>
          <w:rFonts w:ascii="Times New Roman" w:cs="Times New Roman" w:hAnsi="Times New Roman"/>
          <w:bCs/>
        </w:rPr>
        <w:t>90 m above sea level;</w:t>
      </w:r>
      <w:r>
        <w:rPr>
          <w:rFonts w:ascii="Times New Roman" w:cs="Times New Roman" w:hAnsi="Times New Roman"/>
          <w:bCs/>
        </w:rPr>
        <w:t xml:space="preserve"> datum = WGS84).</w:t>
      </w:r>
    </w:p>
    <w:p>
      <w:pPr>
        <w:pStyle w:val="style0"/>
        <w:spacing w:line="480" w:lineRule="auto"/>
        <w:ind w:firstLine="720" w:left="0" w:right="0"/>
      </w:pPr>
      <w:r>
        <w:rPr>
          <w:rFonts w:ascii="Times New Roman" w:cs="Times New Roman" w:hAnsi="Times New Roman"/>
          <w:i/>
        </w:rPr>
        <w:t>Diagnosis</w:t>
      </w:r>
      <w:r>
        <w:rPr>
          <w:rFonts w:ascii="Times New Roman" w:cs="Times New Roman" w:hAnsi="Times New Roman"/>
        </w:rPr>
        <w:t>.</w:t>
      </w:r>
      <w:r>
        <w:rPr>
          <w:rFonts w:ascii="Times New Roman" w:cs="Times New Roman" w:hAnsi="Times New Roman"/>
          <w:bCs/>
        </w:rPr>
        <w:t xml:space="preserve">—The new species can be differentiated from its congeners by the following combination of characters: adult males reaching 37.6 mm SVL; nuptial pads absent (males); humeral glands large (males); webbing on toes reduced, reaching middle subarticular tubercle of fourth toe but not beyond; dorsolateral stripe straight, unbroken, red in color; middorsal region black, unmarked; flanks black, unstratified; large, round, yellow spots on flanks, dorsal part of limbs and upper labia; venter dark brown, whitish spots on throat, whitish reticulations on belly. </w:t>
      </w:r>
    </w:p>
    <w:p>
      <w:pPr>
        <w:pStyle w:val="style0"/>
        <w:spacing w:line="480" w:lineRule="auto"/>
        <w:ind w:firstLine="720" w:left="0" w:right="0"/>
      </w:pPr>
      <w:r>
        <w:rPr>
          <w:rFonts w:ascii="Times New Roman" w:cs="Times New Roman" w:hAnsi="Times New Roman"/>
          <w:bCs/>
          <w:i/>
        </w:rPr>
        <w:t>Comparison to other species</w:t>
      </w:r>
      <w:r>
        <w:rPr>
          <w:rFonts w:ascii="Times New Roman" w:cs="Times New Roman" w:hAnsi="Times New Roman"/>
        </w:rPr>
        <w:t>.</w:t>
      </w:r>
      <w:r>
        <w:rPr>
          <w:rFonts w:ascii="Times New Roman" w:cs="Times New Roman" w:hAnsi="Times New Roman"/>
          <w:bCs/>
        </w:rPr>
        <w:t>—</w:t>
      </w:r>
      <w:r>
        <w:rPr>
          <w:rFonts w:ascii="Times New Roman" w:cs="Times New Roman" w:hAnsi="Times New Roman"/>
          <w:bCs/>
          <w:i/>
        </w:rPr>
        <w:t>Hylarana centropeninsularis</w:t>
      </w:r>
      <w:r>
        <w:rPr>
          <w:rFonts w:ascii="Times New Roman" w:cs="Times New Roman" w:hAnsi="Times New Roman"/>
          <w:bCs/>
        </w:rPr>
        <w:t xml:space="preserve"> can be readily distinguished from </w:t>
      </w:r>
      <w:r>
        <w:rPr>
          <w:rFonts w:ascii="Times New Roman" w:cs="Times New Roman" w:hAnsi="Times New Roman"/>
          <w:bCs/>
          <w:i/>
        </w:rPr>
        <w:t>H. grandocula, H. mangyanum, H. moellendorffi, H. picturata, H. signata</w:t>
      </w:r>
      <w:r>
        <w:rPr>
          <w:rFonts w:ascii="Times New Roman" w:cs="Times New Roman" w:hAnsi="Times New Roman"/>
          <w:bCs/>
        </w:rPr>
        <w:t xml:space="preserve"> and </w:t>
      </w:r>
      <w:r>
        <w:rPr>
          <w:rFonts w:ascii="Times New Roman" w:cs="Times New Roman" w:hAnsi="Times New Roman"/>
          <w:bCs/>
          <w:i/>
        </w:rPr>
        <w:t>H. similis</w:t>
      </w:r>
      <w:r>
        <w:rPr>
          <w:rFonts w:ascii="Times New Roman" w:cs="Times New Roman" w:hAnsi="Times New Roman"/>
          <w:bCs/>
        </w:rPr>
        <w:t xml:space="preserve"> by the absence (vs. presence) of nuptial pads in males and a homogenous, unmarked middorsal region (vs. spotted/blotched). It can be further differentiated from </w:t>
      </w:r>
      <w:r>
        <w:rPr>
          <w:rFonts w:ascii="Times New Roman" w:cs="Times New Roman" w:hAnsi="Times New Roman"/>
          <w:bCs/>
          <w:i/>
        </w:rPr>
        <w:t>H. moellendorffi</w:t>
      </w:r>
      <w:r>
        <w:rPr>
          <w:rFonts w:ascii="Times New Roman" w:cs="Times New Roman" w:hAnsi="Times New Roman"/>
          <w:bCs/>
        </w:rPr>
        <w:t xml:space="preserve"> and </w:t>
      </w:r>
      <w:r>
        <w:rPr>
          <w:rFonts w:ascii="Times New Roman" w:cs="Times New Roman" w:hAnsi="Times New Roman"/>
          <w:bCs/>
          <w:i/>
        </w:rPr>
        <w:t>H. picturata</w:t>
      </w:r>
      <w:r>
        <w:rPr>
          <w:rFonts w:ascii="Times New Roman" w:cs="Times New Roman" w:hAnsi="Times New Roman"/>
          <w:bCs/>
        </w:rPr>
        <w:t xml:space="preserve"> by having a continuous (vs. broken) dorsolateral stripe. </w:t>
      </w:r>
      <w:r>
        <w:rPr>
          <w:rFonts w:ascii="Times New Roman" w:cs="Times New Roman" w:hAnsi="Times New Roman"/>
          <w:bCs/>
          <w:i/>
        </w:rPr>
        <w:t>Hylarana</w:t>
      </w:r>
      <w:r>
        <w:rPr>
          <w:rFonts w:ascii="Times New Roman" w:cs="Times New Roman" w:hAnsi="Times New Roman"/>
          <w:bCs/>
        </w:rPr>
        <w:t xml:space="preserve"> </w:t>
      </w:r>
      <w:r>
        <w:rPr>
          <w:rFonts w:ascii="Times New Roman" w:cs="Times New Roman" w:hAnsi="Times New Roman"/>
          <w:bCs/>
          <w:i/>
        </w:rPr>
        <w:t>centropeninsularis</w:t>
      </w:r>
      <w:r>
        <w:rPr>
          <w:rFonts w:ascii="Times New Roman" w:cs="Times New Roman" w:hAnsi="Times New Roman"/>
          <w:bCs/>
        </w:rPr>
        <w:t xml:space="preserve"> shares the aforementioned characters with </w:t>
      </w:r>
      <w:r>
        <w:rPr>
          <w:rFonts w:ascii="Times New Roman" w:cs="Times New Roman" w:hAnsi="Times New Roman"/>
          <w:bCs/>
          <w:i/>
        </w:rPr>
        <w:t>H. siberu</w:t>
      </w:r>
      <w:r>
        <w:rPr>
          <w:rFonts w:ascii="Times New Roman" w:cs="Times New Roman" w:hAnsi="Times New Roman"/>
          <w:bCs/>
        </w:rPr>
        <w:t xml:space="preserve"> and </w:t>
      </w:r>
      <w:r>
        <w:rPr>
          <w:rFonts w:ascii="Times New Roman" w:cs="Times New Roman" w:hAnsi="Times New Roman"/>
          <w:bCs/>
          <w:i/>
        </w:rPr>
        <w:t>H.</w:t>
      </w:r>
      <w:r>
        <w:rPr>
          <w:rFonts w:ascii="Times New Roman" w:cs="Times New Roman" w:hAnsi="Times New Roman"/>
          <w:bCs/>
        </w:rPr>
        <w:t xml:space="preserve"> sp. Sumatra, with which it is </w:t>
      </w:r>
      <w:r>
        <w:rPr>
          <w:rFonts w:ascii="Times New Roman" w:cs="Times New Roman" w:hAnsi="Times New Roman"/>
          <w:bCs/>
        </w:rPr>
        <w:t xml:space="preserve">phylogenetically and morphologically </w:t>
      </w:r>
      <w:r>
        <w:rPr>
          <w:rFonts w:ascii="Times New Roman" w:cs="Times New Roman" w:hAnsi="Times New Roman"/>
          <w:bCs/>
        </w:rPr>
        <w:t xml:space="preserve">most similar to, but differs by having larger, denser and more rounded spots on the flanks and dorsal side of limbs, and larger spots along the upper labia. </w:t>
      </w:r>
    </w:p>
    <w:p>
      <w:pPr>
        <w:pStyle w:val="style0"/>
        <w:spacing w:line="480" w:lineRule="auto"/>
        <w:ind w:firstLine="720" w:left="0" w:right="0"/>
      </w:pPr>
      <w:r>
        <w:rPr>
          <w:rFonts w:ascii="Times New Roman" w:cs="Times New Roman" w:hAnsi="Times New Roman"/>
          <w:i/>
        </w:rPr>
        <w:t>Description of holotype.</w:t>
      </w:r>
      <w:r>
        <w:rPr>
          <w:rFonts w:ascii="Times New Roman" w:cs="Times New Roman" w:hAnsi="Times New Roman"/>
          <w:b/>
          <w:bCs/>
        </w:rPr>
        <w:t>—</w:t>
      </w:r>
      <w:r>
        <w:rPr>
          <w:rFonts w:ascii="Times New Roman" w:cs="Times New Roman" w:hAnsi="Times New Roman"/>
          <w:bCs/>
        </w:rPr>
        <w:t>Adult male, SVL 37.4 mm; head longer than wide (HL/HW=1.2), snout rounded, sloping anteroventrally, projecting beyond lower jaw, snout length equal to eye diameter; canthus rostralis distinct, loreal region concave, vertical; nostrils oval, located laterally, closer to canthus than supralabial, closer to rostrum than eye (NSD/END=0.7); internarial distance half of distance between front of eyes (IND/EED=0.6); eyes relatively large (ED/SL=1.0; ED/HL=0.4), eye diameter larger than interorbital distance (ED/IOD=1.9); tympanum and tympanic annulus distinct, oval, diameter smaller than eye (TD/ED=0.8), larger than distance to eye (TD/TED=3.4); supratympanic fold prominent, extending obliquely from posterior margin of tympanum to dorsal portion of front limb insertion area; choanae tear-drop shaped, diameter 0.8 mm, tapering medially, separated by distance larger than their diameter; vomerine teeth small and indistinct, numbering four, arranged in short oblique row atop the dentigerous process of vomer; vocal sacs paired, internal subgular; tongue elongate, widening posteriorly with a deep central terminal notch, free for one third its length.</w:t>
      </w:r>
    </w:p>
    <w:p>
      <w:pPr>
        <w:pStyle w:val="style0"/>
        <w:spacing w:line="480" w:lineRule="auto"/>
        <w:ind w:firstLine="720" w:left="0" w:right="0"/>
      </w:pPr>
      <w:r>
        <w:rPr>
          <w:rFonts w:ascii="Times New Roman" w:cs="Times New Roman" w:hAnsi="Times New Roman"/>
          <w:bCs/>
        </w:rPr>
        <w:t xml:space="preserve">Arms relatively long and slender (BL/SVL=0.2), brachial and forearm length subequal (BL/FAL=0.9); humeral glands on lateroventral part of brachium; order of fingers from shortest to longest: II–IV–I–III (fingers I and IV subequal); fingers without web; finger tips dilated into small, pointed discs bearing circummarginal grooves; subarticular tubercles prominently raised, oval, opaque; number of subarticular tubercles on each finger is given in parentheses following finger number denoted by </w:t>
      </w:r>
      <w:r>
        <w:rPr>
          <w:rFonts w:ascii="Times New Roman" w:cs="Times New Roman" w:hAnsi="Times New Roman"/>
          <w:bCs/>
        </w:rPr>
        <w:t>R</w:t>
      </w:r>
      <w:r>
        <w:rPr>
          <w:rFonts w:ascii="Times New Roman" w:cs="Times New Roman" w:hAnsi="Times New Roman"/>
          <w:bCs/>
        </w:rPr>
        <w:t xml:space="preserve">oman </w:t>
      </w:r>
      <w:r>
        <w:rPr>
          <w:rFonts w:ascii="Times New Roman" w:cs="Times New Roman" w:hAnsi="Times New Roman"/>
          <w:bCs/>
        </w:rPr>
        <w:t>N</w:t>
      </w:r>
      <w:r>
        <w:rPr>
          <w:rFonts w:ascii="Times New Roman" w:cs="Times New Roman" w:hAnsi="Times New Roman"/>
          <w:bCs/>
        </w:rPr>
        <w:t xml:space="preserve">umerals: I(1), II(1), III(2), IV(2); supernumerary tubercles indistinct, translucent, at the base of first phalanx on each finger; inner metacarpal tubercle large, oval, translucent; palmar tubercle oval, translucent, slightly smaller and not in contact with inner metacarpal tubercle; outer metacarpal tubercle elongate, translucent, in contact, same length, but half the width of palmar tubercle; nuptial pads absent (Fig. 2A).  </w:t>
      </w:r>
    </w:p>
    <w:p>
      <w:pPr>
        <w:pStyle w:val="style0"/>
        <w:spacing w:line="480" w:lineRule="auto"/>
        <w:ind w:firstLine="720" w:left="0" w:right="0"/>
      </w:pPr>
      <w:r>
        <w:rPr>
          <w:rFonts w:ascii="Times New Roman" w:cs="Times New Roman" w:hAnsi="Times New Roman"/>
          <w:bCs/>
        </w:rPr>
        <w:t xml:space="preserve">Hindlimbs long, slender (FL/SVL=0.5; TBL/SVL=0.5; TL/SVL=0.3), tibia slightly longer than femur (TBL/FL=1.1); order or toes from shortest to longest: I–II–III–V-IV (toes III and V subequal); toe </w:t>
      </w:r>
      <w:r>
        <w:rPr>
          <w:rFonts w:ascii="Times New Roman" w:cs="Times New Roman" w:hAnsi="Times New Roman"/>
          <w:bCs/>
        </w:rPr>
        <w:t>tips</w:t>
      </w:r>
      <w:r>
        <w:rPr>
          <w:rFonts w:ascii="Times New Roman" w:cs="Times New Roman" w:hAnsi="Times New Roman"/>
          <w:bCs/>
        </w:rPr>
        <w:t xml:space="preserve"> slightly dilated into small, pointed discs bearing circummarginal grooves; web formula: I ½ − 1 II 0</w:t>
      </w:r>
      <w:r>
        <w:rPr>
          <w:rFonts w:ascii="Times New Roman" w:cs="Times New Roman" w:hAnsi="Times New Roman"/>
          <w:bCs/>
          <w:vertAlign w:val="superscript"/>
        </w:rPr>
        <w:t>+</w:t>
      </w:r>
      <w:r>
        <w:rPr>
          <w:rFonts w:ascii="Times New Roman" w:cs="Times New Roman" w:hAnsi="Times New Roman"/>
          <w:bCs/>
        </w:rPr>
        <w:t xml:space="preserve"> −1½ III 0</w:t>
      </w:r>
      <w:r>
        <w:rPr>
          <w:rFonts w:ascii="Times New Roman" w:cs="Times New Roman" w:hAnsi="Times New Roman"/>
          <w:bCs/>
          <w:vertAlign w:val="superscript"/>
        </w:rPr>
        <w:t xml:space="preserve">+ </w:t>
      </w:r>
      <w:r>
        <w:rPr>
          <w:rFonts w:ascii="Times New Roman" w:cs="Times New Roman" w:hAnsi="Times New Roman"/>
          <w:bCs/>
        </w:rPr>
        <w:t>− 2</w:t>
      </w:r>
      <w:r>
        <w:rPr>
          <w:rFonts w:ascii="Times New Roman" w:cs="Times New Roman" w:hAnsi="Times New Roman"/>
          <w:bCs/>
          <w:vertAlign w:val="superscript"/>
        </w:rPr>
        <w:t>-</w:t>
      </w:r>
      <w:r>
        <w:rPr>
          <w:rFonts w:ascii="Times New Roman" w:cs="Times New Roman" w:hAnsi="Times New Roman"/>
          <w:bCs/>
        </w:rPr>
        <w:t xml:space="preserve"> IV 2</w:t>
      </w:r>
      <w:r>
        <w:rPr>
          <w:rFonts w:ascii="Times New Roman" w:cs="Times New Roman" w:hAnsi="Times New Roman"/>
          <w:bCs/>
          <w:vertAlign w:val="superscript"/>
        </w:rPr>
        <w:t xml:space="preserve">- </w:t>
      </w:r>
      <w:r>
        <w:rPr>
          <w:rFonts w:ascii="Times New Roman" w:cs="Times New Roman" w:hAnsi="Times New Roman"/>
          <w:bCs/>
        </w:rPr>
        <w:t xml:space="preserve">− 0 V; subarticular tubercles prominently raised, translucent; number of subarticular tubercles on each toe is given in parentheses following toe number denoted by </w:t>
      </w:r>
      <w:r>
        <w:rPr>
          <w:rFonts w:ascii="Times New Roman" w:cs="Times New Roman" w:hAnsi="Times New Roman"/>
          <w:bCs/>
        </w:rPr>
        <w:t>R</w:t>
      </w:r>
      <w:r>
        <w:rPr>
          <w:rFonts w:ascii="Times New Roman" w:cs="Times New Roman" w:hAnsi="Times New Roman"/>
          <w:bCs/>
        </w:rPr>
        <w:t xml:space="preserve">oman </w:t>
      </w:r>
      <w:r>
        <w:rPr>
          <w:rFonts w:ascii="Times New Roman" w:cs="Times New Roman" w:hAnsi="Times New Roman"/>
          <w:bCs/>
        </w:rPr>
        <w:t>N</w:t>
      </w:r>
      <w:r>
        <w:rPr>
          <w:rFonts w:ascii="Times New Roman" w:cs="Times New Roman" w:hAnsi="Times New Roman"/>
          <w:bCs/>
        </w:rPr>
        <w:t xml:space="preserve">umerals: I(1), II(1), III(2), IV(3), V(2); inner metatarsal tubercle elongate, raised, translucent; outer metatarsal tubercle round, raised, translucent, smaller than inner (Fig. 2B). </w:t>
      </w:r>
    </w:p>
    <w:p>
      <w:pPr>
        <w:pStyle w:val="style0"/>
        <w:spacing w:line="480" w:lineRule="auto"/>
      </w:pPr>
      <w:r>
        <w:rPr>
          <w:rFonts w:ascii="Times New Roman" w:cs="Times New Roman" w:hAnsi="Times New Roman"/>
          <w:bCs/>
        </w:rPr>
        <w:tab/>
      </w:r>
      <w:r>
        <w:rPr>
          <w:rFonts w:ascii="Times New Roman" w:cs="Times New Roman" w:hAnsi="Times New Roman"/>
          <w:bCs/>
          <w:i/>
        </w:rPr>
        <w:t>Color in life</w:t>
      </w:r>
      <w:r>
        <w:rPr>
          <w:rFonts w:ascii="Times New Roman" w:cs="Times New Roman" w:hAnsi="Times New Roman"/>
          <w:i/>
        </w:rPr>
        <w:t>.</w:t>
      </w:r>
      <w:r>
        <w:rPr>
          <w:rFonts w:ascii="Times New Roman" w:cs="Times New Roman" w:hAnsi="Times New Roman"/>
          <w:b/>
          <w:bCs/>
        </w:rPr>
        <w:t>—</w:t>
      </w:r>
      <w:r>
        <w:rPr>
          <w:rFonts w:ascii="Times New Roman" w:cs="Times New Roman" w:hAnsi="Times New Roman"/>
          <w:bCs/>
        </w:rPr>
        <w:t>Dorsum completely black without markings; near complete orange dorsolateral stripe from rostrum, along the canthus, lateral margin of palpebrae, dorsolateral part of dorsum, and terminating at the sacrum where it forms a near complete loop; a single row of white spots along the upper and lower labials; flanks and dorsal side of limbs with round, creamy yellow spots; some spots connect to form short, elongated bars; venter dark brown; throat with whitish spots; belly with whitish reticulations.</w:t>
      </w:r>
    </w:p>
    <w:p>
      <w:pPr>
        <w:pStyle w:val="style0"/>
        <w:spacing w:line="480" w:lineRule="auto"/>
        <w:ind w:firstLine="720" w:left="0" w:right="0"/>
      </w:pPr>
      <w:r>
        <w:rPr>
          <w:rFonts w:ascii="Times New Roman" w:cs="Times New Roman" w:hAnsi="Times New Roman"/>
          <w:bCs/>
          <w:i/>
        </w:rPr>
        <w:t>Color in preservative</w:t>
      </w:r>
      <w:r>
        <w:rPr>
          <w:rFonts w:ascii="Times New Roman" w:cs="Times New Roman" w:hAnsi="Times New Roman"/>
          <w:i/>
        </w:rPr>
        <w:t>.</w:t>
      </w:r>
      <w:r>
        <w:rPr>
          <w:rFonts w:ascii="Times New Roman" w:cs="Times New Roman" w:hAnsi="Times New Roman"/>
          <w:b/>
          <w:bCs/>
        </w:rPr>
        <w:t>—</w:t>
      </w:r>
      <w:r>
        <w:rPr>
          <w:rFonts w:ascii="Times New Roman" w:cs="Times New Roman" w:hAnsi="Times New Roman"/>
          <w:bCs/>
        </w:rPr>
        <w:t>Dorsum dark brown; flanks and dorsal side of limbs a lighter shade of brown; dorsolateral stripe and spots/bars white; venter the same color as in life (Fig. 2C–D).</w:t>
      </w:r>
    </w:p>
    <w:p>
      <w:pPr>
        <w:pStyle w:val="style0"/>
        <w:spacing w:line="480" w:lineRule="auto"/>
        <w:ind w:firstLine="720" w:left="0" w:right="0"/>
      </w:pPr>
      <w:r>
        <w:rPr>
          <w:rFonts w:ascii="Times New Roman" w:cs="Times New Roman" w:hAnsi="Times New Roman"/>
          <w:i/>
        </w:rPr>
        <w:t>Distribution.</w:t>
      </w:r>
      <w:r>
        <w:rPr>
          <w:rFonts w:ascii="Times New Roman" w:cs="Times New Roman" w:hAnsi="Times New Roman"/>
          <w:b/>
          <w:bCs/>
        </w:rPr>
        <w:t>—</w:t>
      </w:r>
      <w:r>
        <w:rPr>
          <w:rFonts w:ascii="Times New Roman" w:cs="Times New Roman" w:hAnsi="Times New Roman"/>
          <w:bCs/>
        </w:rPr>
        <w:t xml:space="preserve">The new species is currently known from two adjacent localities in central Peninsular Malaysia: Sungai Temir (=Temir River), Lakum Forest Reserve, Raub Pahang and Kuala Gandah, Lanchang, Pahang (Fig. 1). </w:t>
      </w:r>
    </w:p>
    <w:p>
      <w:pPr>
        <w:pStyle w:val="style0"/>
        <w:spacing w:line="480" w:lineRule="auto"/>
        <w:ind w:firstLine="720" w:left="0" w:right="0"/>
      </w:pPr>
      <w:r>
        <w:rPr>
          <w:rFonts w:ascii="Times New Roman" w:cs="Times New Roman" w:hAnsi="Times New Roman"/>
          <w:i/>
        </w:rPr>
        <w:t>Natural History.</w:t>
      </w:r>
      <w:r>
        <w:rPr>
          <w:rFonts w:ascii="Times New Roman" w:cs="Times New Roman" w:hAnsi="Times New Roman"/>
          <w:b/>
          <w:bCs/>
        </w:rPr>
        <w:t>—</w:t>
      </w:r>
      <w:r>
        <w:rPr>
          <w:rFonts w:ascii="Times New Roman" w:cs="Times New Roman" w:hAnsi="Times New Roman"/>
          <w:bCs/>
        </w:rPr>
        <w:t xml:space="preserve">The holotype was caught in a pit-fall trap at least 100 m from the nearest stream in a lowland secondary forest (Chan and Norhayati, 2009), whereas the paratype was collected at night in an adjacent lowland primary forest from the edge of a temporary forest pool (ca. 1.5 x 1.0 m). This pool was among a swampy, waterlogged area away from streams. It was syntopic with the following anurans: </w:t>
      </w:r>
      <w:r>
        <w:rPr>
          <w:rFonts w:ascii="Times New Roman" w:cs="Times New Roman" w:hAnsi="Times New Roman"/>
          <w:bCs/>
          <w:i/>
        </w:rPr>
        <w:t>Hylarana labialis, H. erythraea, Polypedates macrotis, Rhacophorus appendiculatus, Philautus</w:t>
      </w:r>
      <w:r>
        <w:rPr>
          <w:rFonts w:ascii="Times New Roman" w:cs="Times New Roman" w:hAnsi="Times New Roman"/>
          <w:bCs/>
        </w:rPr>
        <w:t xml:space="preserve"> sp. (Leong and Lim, 2004). These data suggest </w:t>
      </w:r>
      <w:r>
        <w:rPr>
          <w:rFonts w:ascii="Times New Roman" w:cs="Times New Roman" w:hAnsi="Times New Roman"/>
          <w:bCs/>
          <w:i/>
        </w:rPr>
        <w:t>H. centropeninsularis</w:t>
      </w:r>
      <w:r>
        <w:rPr>
          <w:rFonts w:ascii="Times New Roman" w:cs="Times New Roman" w:hAnsi="Times New Roman"/>
          <w:bCs/>
        </w:rPr>
        <w:t xml:space="preserve"> is a swamp habitat specialist which stands in contrast to  </w:t>
      </w:r>
      <w:r>
        <w:rPr>
          <w:rFonts w:ascii="Times New Roman" w:cs="Times New Roman" w:hAnsi="Times New Roman"/>
          <w:bCs/>
          <w:i/>
        </w:rPr>
        <w:t>H. picturata</w:t>
      </w:r>
      <w:r>
        <w:rPr>
          <w:rFonts w:ascii="Times New Roman" w:cs="Times New Roman" w:hAnsi="Times New Roman"/>
          <w:bCs/>
        </w:rPr>
        <w:t xml:space="preserve"> (sensu Brown and Guttman, 2002) which is restricted to forest streams.</w:t>
      </w:r>
    </w:p>
    <w:p>
      <w:pPr>
        <w:pStyle w:val="style0"/>
        <w:spacing w:line="480" w:lineRule="auto"/>
        <w:ind w:firstLine="720" w:left="0" w:right="0"/>
      </w:pPr>
      <w:r>
        <w:rPr>
          <w:rFonts w:ascii="Times New Roman" w:cs="Times New Roman" w:hAnsi="Times New Roman"/>
          <w:bCs/>
          <w:i/>
        </w:rPr>
        <w:t>Etymology</w:t>
      </w:r>
      <w:r>
        <w:rPr>
          <w:rFonts w:ascii="Times New Roman" w:cs="Times New Roman" w:hAnsi="Times New Roman"/>
          <w:i/>
        </w:rPr>
        <w:t>.</w:t>
      </w:r>
      <w:r>
        <w:rPr>
          <w:rFonts w:ascii="Times New Roman" w:cs="Times New Roman" w:hAnsi="Times New Roman"/>
          <w:b/>
          <w:bCs/>
        </w:rPr>
        <w:t>—</w:t>
      </w:r>
      <w:r>
        <w:rPr>
          <w:rFonts w:ascii="Times New Roman" w:cs="Times New Roman" w:hAnsi="Times New Roman"/>
          <w:bCs/>
        </w:rPr>
        <w:t xml:space="preserve">The specific epithet is derived from the latin prefix “centro” (root=centrum) and the root “peninsularis,” in reference to the type and only known localities of the new species in central Peninsular Malaysia. </w:t>
      </w:r>
    </w:p>
    <w:p>
      <w:pPr>
        <w:pStyle w:val="style0"/>
        <w:spacing w:line="480" w:lineRule="auto"/>
      </w:pPr>
      <w:r>
        <w:rPr>
          <w:rFonts w:ascii="Times New Roman" w:hAnsi="Times New Roman"/>
        </w:rPr>
      </w:r>
    </w:p>
    <w:p>
      <w:pPr>
        <w:pStyle w:val="style0"/>
        <w:spacing w:line="480" w:lineRule="auto"/>
        <w:jc w:val="center"/>
      </w:pPr>
      <w:r>
        <w:rPr>
          <w:rFonts w:ascii="Times New Roman" w:cs="Times New Roman" w:hAnsi="Times New Roman"/>
          <w:smallCaps/>
        </w:rPr>
        <w:t>Discussion</w:t>
      </w:r>
    </w:p>
    <w:p>
      <w:pPr>
        <w:pStyle w:val="style0"/>
        <w:spacing w:line="480" w:lineRule="auto"/>
        <w:ind w:firstLine="720" w:left="0" w:right="0"/>
      </w:pPr>
      <w:r>
        <w:rPr>
          <w:rFonts w:ascii="Times New Roman" w:cs="Times New Roman" w:hAnsi="Times New Roman"/>
          <w:bCs/>
        </w:rPr>
        <w:t xml:space="preserve">We hypothesize </w:t>
      </w:r>
      <w:r>
        <w:rPr>
          <w:rFonts w:ascii="Times New Roman" w:cs="Times New Roman" w:hAnsi="Times New Roman"/>
          <w:bCs/>
          <w:i/>
        </w:rPr>
        <w:t>H. centropeninsularis</w:t>
      </w:r>
      <w:r>
        <w:rPr>
          <w:rFonts w:ascii="Times New Roman" w:cs="Times New Roman" w:hAnsi="Times New Roman"/>
          <w:bCs/>
        </w:rPr>
        <w:t xml:space="preserve"> which is the sister </w:t>
      </w:r>
      <w:r>
        <w:rPr>
          <w:rFonts w:ascii="Times New Roman" w:cs="Times New Roman" w:hAnsi="Times New Roman"/>
          <w:bCs/>
        </w:rPr>
        <w:t>species</w:t>
      </w:r>
      <w:r>
        <w:rPr>
          <w:rFonts w:ascii="Times New Roman" w:cs="Times New Roman" w:hAnsi="Times New Roman"/>
          <w:bCs/>
        </w:rPr>
        <w:t xml:space="preserve"> of </w:t>
      </w:r>
      <w:r>
        <w:rPr>
          <w:rFonts w:ascii="Times New Roman" w:cs="Times New Roman" w:hAnsi="Times New Roman"/>
          <w:bCs/>
          <w:i/>
        </w:rPr>
        <w:t>H. siberu</w:t>
      </w:r>
      <w:r>
        <w:rPr>
          <w:rFonts w:ascii="Times New Roman" w:cs="Times New Roman" w:hAnsi="Times New Roman"/>
          <w:bCs/>
        </w:rPr>
        <w:t xml:space="preserve"> and </w:t>
      </w:r>
      <w:r>
        <w:rPr>
          <w:rFonts w:ascii="Times New Roman" w:cs="Times New Roman" w:hAnsi="Times New Roman"/>
          <w:bCs/>
          <w:i/>
        </w:rPr>
        <w:t>H.</w:t>
      </w:r>
      <w:r>
        <w:rPr>
          <w:rFonts w:ascii="Times New Roman" w:cs="Times New Roman" w:hAnsi="Times New Roman"/>
          <w:bCs/>
        </w:rPr>
        <w:t xml:space="preserve"> sp. Sumatra, to be a species now exhibiting a relictual distribution.  This assertion is based on phylogenetic affinity (Fig. 1), morphological similarity (Table 1) and geographic proximity (Fig. 1). One plausible scenario would be the existence of a widespread ancestral species that occurred in Sumatra and Peninsular Malaysia in the past. This is substantiated by the fact that the Strait of Malacca that separates Peninsular Malaysia and Sumatra is narrowest (ca. 65 km) and shallowest (ca. 40 m) at the central portion of Peninsular Malaysia and was land positive at or below 40 m below present-day levels for approximately 55% of the time in the last 17,000 years (Geyh et al</w:t>
      </w:r>
      <w:r>
        <w:rPr>
          <w:rFonts w:ascii="Times New Roman" w:cs="Times New Roman" w:hAnsi="Times New Roman"/>
          <w:bCs/>
          <w:i/>
        </w:rPr>
        <w:t>.</w:t>
      </w:r>
      <w:r>
        <w:rPr>
          <w:rFonts w:ascii="Times New Roman" w:cs="Times New Roman" w:hAnsi="Times New Roman"/>
          <w:bCs/>
        </w:rPr>
        <w:t xml:space="preserve">, 1979; Voris, 2000). The inundation of the Strait of Malacca could serve as the vicariant event that isolated the ancestral population(s), which subsequently diverged in isolation. </w:t>
      </w:r>
    </w:p>
    <w:p>
      <w:pPr>
        <w:pStyle w:val="style0"/>
        <w:spacing w:line="480" w:lineRule="auto"/>
      </w:pPr>
      <w:r>
        <w:rPr>
          <w:rFonts w:ascii="Times New Roman" w:cs="Times New Roman" w:hAnsi="Times New Roman"/>
          <w:bCs/>
        </w:rPr>
        <w:tab/>
        <w:t xml:space="preserve">The new species has more in common with </w:t>
      </w:r>
      <w:r>
        <w:rPr>
          <w:rFonts w:ascii="Times New Roman" w:cs="Times New Roman" w:hAnsi="Times New Roman"/>
          <w:bCs/>
          <w:i/>
        </w:rPr>
        <w:t>H. siberu</w:t>
      </w:r>
      <w:r>
        <w:rPr>
          <w:rFonts w:ascii="Times New Roman" w:cs="Times New Roman" w:hAnsi="Times New Roman"/>
          <w:bCs/>
        </w:rPr>
        <w:t xml:space="preserve"> in that both species occupy a generally similar ecological niche (lowland swamps) as opposed to </w:t>
      </w:r>
      <w:r>
        <w:rPr>
          <w:rFonts w:ascii="Times New Roman" w:cs="Times New Roman" w:hAnsi="Times New Roman"/>
          <w:bCs/>
          <w:i/>
        </w:rPr>
        <w:t>H.</w:t>
      </w:r>
      <w:r>
        <w:rPr>
          <w:rFonts w:ascii="Times New Roman" w:cs="Times New Roman" w:hAnsi="Times New Roman"/>
          <w:bCs/>
        </w:rPr>
        <w:t xml:space="preserve"> sp. Sumatra, a montane species, which in that regard, is more similar to </w:t>
      </w:r>
      <w:r>
        <w:rPr>
          <w:rFonts w:ascii="Times New Roman" w:cs="Times New Roman" w:hAnsi="Times New Roman"/>
          <w:bCs/>
          <w:i/>
        </w:rPr>
        <w:t>H. banjarana</w:t>
      </w:r>
      <w:r>
        <w:rPr>
          <w:rFonts w:ascii="Times New Roman" w:cs="Times New Roman" w:hAnsi="Times New Roman"/>
          <w:bCs/>
        </w:rPr>
        <w:t xml:space="preserve"> from Peninsular Malaysia (Leong and Lim, 2003).  Given the small, patchy, microhabitat-specific, and </w:t>
      </w:r>
      <w:r>
        <w:rPr>
          <w:rFonts w:ascii="Times New Roman" w:cs="Times New Roman" w:hAnsi="Times New Roman"/>
          <w:bCs/>
        </w:rPr>
        <w:t>apparently</w:t>
      </w:r>
      <w:r>
        <w:rPr>
          <w:rFonts w:ascii="Times New Roman" w:cs="Times New Roman" w:hAnsi="Times New Roman"/>
          <w:bCs/>
        </w:rPr>
        <w:t xml:space="preserve"> relict</w:t>
      </w:r>
      <w:r>
        <w:rPr>
          <w:rFonts w:ascii="Times New Roman" w:cs="Times New Roman" w:hAnsi="Times New Roman"/>
          <w:bCs/>
        </w:rPr>
        <w:t>ual</w:t>
      </w:r>
      <w:r>
        <w:rPr>
          <w:rFonts w:ascii="Times New Roman" w:cs="Times New Roman" w:hAnsi="Times New Roman"/>
          <w:bCs/>
        </w:rPr>
        <w:t xml:space="preserve"> nature of </w:t>
      </w:r>
      <w:r>
        <w:rPr>
          <w:rFonts w:ascii="Times New Roman" w:cs="Times New Roman" w:hAnsi="Times New Roman"/>
          <w:bCs/>
          <w:i/>
        </w:rPr>
        <w:t>H. centropeninsularis</w:t>
      </w:r>
      <w:r>
        <w:rPr>
          <w:rFonts w:ascii="Times New Roman" w:cs="Times New Roman" w:hAnsi="Times New Roman"/>
          <w:bCs/>
        </w:rPr>
        <w:t>, we would recommend prioritizing survey efforts in any identifiable lowland swamp habitats in the immediate near future.  Not only are swamps and peat bog habitats insular in nature (surrounded by a generalized terrestrial habitat matrix), these habitats are heavily imperiled and rapidly disappearing throughout Southeast Asia (Ng et al., 1994; Myers et al., 2000).  The possibility that additional new species could await discovery in these unique habitats around the world should not be ignored (Biton et al., 2013).</w:t>
      </w:r>
    </w:p>
    <w:p>
      <w:pPr>
        <w:pStyle w:val="style0"/>
        <w:spacing w:line="480" w:lineRule="auto"/>
      </w:pPr>
      <w:r>
        <w:rPr>
          <w:rFonts w:ascii="Times New Roman" w:hAnsi="Times New Roman"/>
        </w:rPr>
        <w:tab/>
      </w:r>
      <w:r>
        <w:rPr>
          <w:rFonts w:ascii="Times New Roman" w:cs="Times New Roman" w:hAnsi="Times New Roman"/>
          <w:bCs/>
          <w:i/>
        </w:rPr>
        <w:t>Hylarana</w:t>
      </w:r>
      <w:r>
        <w:rPr>
          <w:rFonts w:ascii="Times New Roman" w:cs="Times New Roman" w:hAnsi="Times New Roman"/>
          <w:bCs/>
        </w:rPr>
        <w:t xml:space="preserve"> sp. Sumatra was collected from the type locality of </w:t>
      </w:r>
      <w:r>
        <w:rPr>
          <w:rFonts w:ascii="Times New Roman" w:cs="Times New Roman" w:hAnsi="Times New Roman"/>
          <w:bCs/>
          <w:i/>
        </w:rPr>
        <w:t>H. debussyi</w:t>
      </w:r>
      <w:r>
        <w:rPr>
          <w:rFonts w:ascii="Times New Roman" w:cs="Times New Roman" w:hAnsi="Times New Roman"/>
          <w:bCs/>
        </w:rPr>
        <w:t xml:space="preserve"> (van Kampen) at 1000 m elevation in the Batak Mountains, Bandar Baru, Sumatra (M. Kamsi and D. Iskandar, </w:t>
      </w:r>
      <w:r>
        <w:rPr>
          <w:rFonts w:ascii="Times New Roman" w:cs="Times New Roman" w:hAnsi="Times New Roman"/>
          <w:bCs/>
          <w:i/>
        </w:rPr>
        <w:t>personal communication</w:t>
      </w:r>
      <w:r>
        <w:rPr>
          <w:rFonts w:ascii="Times New Roman" w:cs="Times New Roman" w:hAnsi="Times New Roman"/>
          <w:bCs/>
        </w:rPr>
        <w:t xml:space="preserve">; Fig. 1), </w:t>
      </w:r>
      <w:r>
        <w:rPr>
          <w:rFonts w:ascii="Times New Roman" w:cs="Times New Roman" w:hAnsi="Times New Roman"/>
          <w:bCs/>
        </w:rPr>
        <w:t xml:space="preserve">initially </w:t>
      </w:r>
      <w:r>
        <w:rPr>
          <w:rFonts w:ascii="Times New Roman" w:cs="Times New Roman" w:hAnsi="Times New Roman"/>
          <w:bCs/>
        </w:rPr>
        <w:t xml:space="preserve">leading us to consider the possibility of the application of this name to the distinct </w:t>
      </w:r>
      <w:r>
        <w:rPr>
          <w:rFonts w:ascii="Times New Roman" w:cs="Times New Roman" w:hAnsi="Times New Roman"/>
          <w:bCs/>
          <w:i/>
        </w:rPr>
        <w:t>H. signata</w:t>
      </w:r>
      <w:r>
        <w:rPr>
          <w:rFonts w:ascii="Times New Roman" w:cs="Times New Roman" w:hAnsi="Times New Roman"/>
          <w:bCs/>
        </w:rPr>
        <w:t xml:space="preserve"> </w:t>
      </w:r>
      <w:r>
        <w:rPr>
          <w:rFonts w:ascii="Times New Roman" w:cs="Times New Roman" w:hAnsi="Times New Roman"/>
          <w:bCs/>
        </w:rPr>
        <w:t>C</w:t>
      </w:r>
      <w:r>
        <w:rPr>
          <w:rFonts w:ascii="Times New Roman" w:cs="Times New Roman" w:hAnsi="Times New Roman"/>
          <w:bCs/>
        </w:rPr>
        <w:t xml:space="preserve">omplex species from high elevations of northern Sumatra. </w:t>
      </w:r>
      <w:r>
        <w:rPr>
          <w:rFonts w:ascii="Times New Roman" w:cs="Times New Roman" w:hAnsi="Times New Roman"/>
          <w:bCs/>
        </w:rPr>
        <w:t xml:space="preserve">However, further inspections into </w:t>
      </w:r>
      <w:r>
        <w:rPr>
          <w:rFonts w:ascii="Times New Roman" w:cs="Times New Roman" w:hAnsi="Times New Roman"/>
          <w:bCs/>
        </w:rPr>
        <w:t xml:space="preserve">the descriptions of </w:t>
      </w:r>
      <w:r>
        <w:rPr>
          <w:rFonts w:ascii="Times New Roman" w:cs="Times New Roman" w:hAnsi="Times New Roman"/>
          <w:bCs/>
          <w:i/>
        </w:rPr>
        <w:t xml:space="preserve">H. debussyi </w:t>
      </w:r>
      <w:r>
        <w:rPr>
          <w:rFonts w:ascii="Times New Roman" w:cs="Times New Roman" w:hAnsi="Times New Roman"/>
          <w:bCs/>
        </w:rPr>
        <w:t>(=</w:t>
      </w:r>
      <w:r>
        <w:rPr>
          <w:rFonts w:ascii="Times New Roman" w:cs="Times New Roman" w:hAnsi="Times New Roman"/>
          <w:bCs/>
          <w:i/>
        </w:rPr>
        <w:t>Rana debussyi</w:t>
      </w:r>
      <w:r>
        <w:rPr>
          <w:rFonts w:ascii="Times New Roman" w:cs="Times New Roman" w:hAnsi="Times New Roman"/>
          <w:bCs/>
        </w:rPr>
        <w:t xml:space="preserve">) in Boulenger (1920), van Kampen (1923) and the plate from the original description of the species (van Kampen, 1910, p. 23, pl. I, fig. 3) </w:t>
      </w:r>
      <w:r>
        <w:rPr>
          <w:rFonts w:ascii="Times New Roman" w:cs="Times New Roman" w:hAnsi="Times New Roman"/>
          <w:bCs/>
        </w:rPr>
        <w:t>revealed that</w:t>
      </w:r>
      <w:r>
        <w:rPr>
          <w:rFonts w:ascii="Times New Roman" w:cs="Times New Roman" w:hAnsi="Times New Roman"/>
          <w:bCs/>
        </w:rPr>
        <w:t xml:space="preserve"> </w:t>
      </w:r>
      <w:r>
        <w:rPr>
          <w:rFonts w:ascii="Times New Roman" w:cs="Times New Roman" w:hAnsi="Times New Roman"/>
          <w:bCs/>
          <w:i/>
        </w:rPr>
        <w:t>H. debussyi</w:t>
      </w:r>
      <w:r>
        <w:rPr>
          <w:rFonts w:ascii="Times New Roman" w:cs="Times New Roman" w:hAnsi="Times New Roman"/>
          <w:bCs/>
        </w:rPr>
        <w:t xml:space="preserve"> d</w:t>
      </w:r>
      <w:r>
        <w:rPr>
          <w:rFonts w:ascii="Times New Roman" w:cs="Times New Roman" w:hAnsi="Times New Roman"/>
          <w:bCs/>
        </w:rPr>
        <w:t>id</w:t>
      </w:r>
      <w:r>
        <w:rPr>
          <w:rFonts w:ascii="Times New Roman" w:cs="Times New Roman" w:hAnsi="Times New Roman"/>
          <w:bCs/>
        </w:rPr>
        <w:t xml:space="preserve"> not share the characters that would warrant its inclusion in the </w:t>
      </w:r>
      <w:r>
        <w:rPr>
          <w:rFonts w:ascii="Times New Roman" w:cs="Times New Roman" w:hAnsi="Times New Roman"/>
          <w:bCs/>
          <w:i/>
        </w:rPr>
        <w:t>Hylrana signata</w:t>
      </w:r>
      <w:r>
        <w:rPr>
          <w:rFonts w:ascii="Times New Roman" w:cs="Times New Roman" w:hAnsi="Times New Roman"/>
          <w:bCs/>
        </w:rPr>
        <w:t xml:space="preserve"> </w:t>
      </w:r>
      <w:r>
        <w:rPr>
          <w:rFonts w:ascii="Times New Roman" w:cs="Times New Roman" w:hAnsi="Times New Roman"/>
          <w:bCs/>
        </w:rPr>
        <w:t>C</w:t>
      </w:r>
      <w:r>
        <w:rPr>
          <w:rFonts w:ascii="Times New Roman" w:cs="Times New Roman" w:hAnsi="Times New Roman"/>
          <w:bCs/>
        </w:rPr>
        <w:t xml:space="preserve">omplex (sensu Brown and Guttman, 2002). The following characters were given by van Kampen (1923): brown above; sides, from tip of snout to vent, black, with a white streak from the tip of the snout along the upper lip, below the tympanum to the thighs; limbs pale brown, with dark </w:t>
      </w:r>
      <w:r>
        <w:rPr>
          <w:rFonts w:ascii="Times New Roman" w:cs="Times New Roman" w:hAnsi="Times New Roman"/>
          <w:bCs/>
          <w:i/>
          <w:iCs/>
        </w:rPr>
        <w:t>cross</w:t>
      </w:r>
      <w:r>
        <w:rPr>
          <w:rFonts w:ascii="Times New Roman" w:cs="Times New Roman" w:hAnsi="Times New Roman"/>
          <w:bCs/>
        </w:rPr>
        <w:t xml:space="preserve">-bars; yellowish white beneath. Moreover, Boulenger (1920) described it as allied to </w:t>
      </w:r>
      <w:r>
        <w:rPr>
          <w:rFonts w:ascii="Times New Roman" w:cs="Times New Roman" w:hAnsi="Times New Roman"/>
          <w:bCs/>
          <w:i/>
        </w:rPr>
        <w:t>H. luctuosa</w:t>
      </w:r>
      <w:r>
        <w:rPr>
          <w:rFonts w:ascii="Times New Roman" w:cs="Times New Roman" w:hAnsi="Times New Roman"/>
          <w:bCs/>
        </w:rPr>
        <w:t xml:space="preserve">, but having much in common with </w:t>
      </w:r>
      <w:r>
        <w:rPr>
          <w:rFonts w:ascii="Times New Roman" w:cs="Times New Roman" w:hAnsi="Times New Roman"/>
          <w:bCs/>
          <w:i/>
        </w:rPr>
        <w:t>H. nicobariensis</w:t>
      </w:r>
      <w:r>
        <w:rPr>
          <w:rFonts w:ascii="Times New Roman" w:cs="Times New Roman" w:hAnsi="Times New Roman"/>
          <w:bCs/>
        </w:rPr>
        <w:t xml:space="preserve">. </w:t>
      </w:r>
      <w:r>
        <w:rPr>
          <w:rFonts w:ascii="Times New Roman" w:cs="Times New Roman" w:hAnsi="Times New Roman"/>
          <w:bCs/>
        </w:rPr>
        <w:t xml:space="preserve">These discrepancies, along with results from our molecular analyses suggests that </w:t>
      </w:r>
      <w:r>
        <w:rPr>
          <w:rFonts w:ascii="Times New Roman" w:cs="Times New Roman" w:hAnsi="Times New Roman"/>
          <w:bCs/>
          <w:i/>
          <w:iCs/>
        </w:rPr>
        <w:t>H</w:t>
      </w:r>
      <w:r>
        <w:rPr>
          <w:rFonts w:ascii="Times New Roman" w:cs="Times New Roman" w:hAnsi="Times New Roman"/>
          <w:bCs/>
          <w:i w:val="false"/>
          <w:iCs w:val="false"/>
        </w:rPr>
        <w:t>. sp. Sumatra represents a distinct and undescribed lineage.</w:t>
      </w:r>
    </w:p>
    <w:p>
      <w:pPr>
        <w:pStyle w:val="style0"/>
        <w:spacing w:line="480" w:lineRule="auto"/>
        <w:ind w:firstLine="720" w:left="0" w:right="0"/>
      </w:pPr>
      <w:r>
        <w:rPr>
          <w:rFonts w:ascii="Times New Roman" w:cs="Times New Roman" w:hAnsi="Times New Roman"/>
          <w:i/>
        </w:rPr>
        <w:t>Acknowledgments.</w:t>
      </w:r>
      <w:r>
        <w:rPr>
          <w:rFonts w:ascii="Times New Roman" w:cs="Times New Roman" w:hAnsi="Times New Roman"/>
          <w:b/>
          <w:bCs/>
        </w:rPr>
        <w:t>—</w:t>
      </w:r>
      <w:r>
        <w:rPr>
          <w:rFonts w:ascii="Times New Roman" w:cs="Times New Roman" w:hAnsi="Times New Roman"/>
        </w:rPr>
        <w:t>We thank J. Senawi from Universiti Kebangsaan Malaysia for collecting the holotype. Support for RMB during the preparation of this manuscript and for laboratory work at KU was provided by grants from the U.S. National Science Foundation (DEB 0743491, EF 0334952).  Thanks are due to D. Iskandar and J. McGuire for the use of photographs (Fig. 3) and to C. D. Siler for related collaboration on spotted stream frog systematics and biogeography.</w:t>
      </w:r>
    </w:p>
    <w:p>
      <w:pPr>
        <w:pStyle w:val="style0"/>
        <w:spacing w:line="480" w:lineRule="auto"/>
      </w:pPr>
      <w:r>
        <w:rPr>
          <w:rFonts w:ascii="Times New Roman" w:hAnsi="Times New Roman"/>
        </w:rPr>
      </w:r>
    </w:p>
    <w:p>
      <w:pPr>
        <w:pStyle w:val="style0"/>
        <w:spacing w:line="480" w:lineRule="auto"/>
        <w:jc w:val="center"/>
      </w:pPr>
      <w:r>
        <w:rPr>
          <w:rFonts w:ascii="Times New Roman" w:cs="Times New Roman" w:hAnsi="Times New Roman"/>
          <w:smallCaps/>
        </w:rPr>
        <w:t>Literature Cited</w:t>
      </w:r>
    </w:p>
    <w:p>
      <w:pPr>
        <w:pStyle w:val="style0"/>
        <w:spacing w:line="480" w:lineRule="auto"/>
        <w:ind w:hanging="720" w:left="720" w:right="0"/>
      </w:pPr>
      <w:r>
        <w:rPr>
          <w:rFonts w:ascii="Times New Roman" w:cs="Times New Roman" w:hAnsi="Times New Roman"/>
        </w:rPr>
        <w:t>Berry, P.Y. 1975. The Amphibian Fauna of Peninsular Malaysia. Kuala Lumpur, Malaysia.</w:t>
      </w:r>
    </w:p>
    <w:p>
      <w:pPr>
        <w:pStyle w:val="style0"/>
        <w:spacing w:line="480" w:lineRule="auto"/>
        <w:ind w:hanging="720" w:left="720" w:right="0"/>
      </w:pPr>
      <w:r>
        <w:rPr>
          <w:rFonts w:ascii="Times New Roman" w:cs="Times New Roman" w:hAnsi="Times New Roman"/>
        </w:rPr>
        <w:t>Biton, R., E. Geffen, M. Vences, O. Cohen, S. Bailon, R. Rabinovich, Y. Malka, T. Oron,</w:t>
      </w:r>
    </w:p>
    <w:p>
      <w:pPr>
        <w:pStyle w:val="style0"/>
        <w:spacing w:line="480" w:lineRule="auto"/>
        <w:ind w:hanging="720" w:left="720" w:right="0"/>
      </w:pPr>
      <w:r>
        <w:rPr>
          <w:rFonts w:ascii="Times New Roman" w:cs="Times New Roman" w:hAnsi="Times New Roman"/>
        </w:rPr>
        <w:tab/>
        <w:t>R. Boistel, V. Brumfeld, and S. Gafny. 2013. The rediscovered Hula painted frog is a living fossil. Nature Communications 4:1959.</w:t>
      </w:r>
    </w:p>
    <w:p>
      <w:pPr>
        <w:pStyle w:val="style0"/>
        <w:spacing w:line="480" w:lineRule="auto"/>
        <w:ind w:hanging="720" w:left="720" w:right="0"/>
      </w:pPr>
      <w:r>
        <w:rPr>
          <w:rFonts w:ascii="Times New Roman" w:cs="Times New Roman" w:hAnsi="Times New Roman"/>
        </w:rPr>
        <w:t>Boulenger, G.A. 1920. A monograph of the South Asian, Papuan, Melanesian and Australian frogs of the genus Rana. Records of the Indian Museum 20:1–226.</w:t>
      </w:r>
    </w:p>
    <w:p>
      <w:pPr>
        <w:pStyle w:val="style0"/>
        <w:spacing w:line="480" w:lineRule="auto"/>
        <w:ind w:hanging="720" w:left="720" w:right="0"/>
      </w:pPr>
      <w:r>
        <w:rPr>
          <w:rFonts w:ascii="Times New Roman" w:cs="Times New Roman" w:hAnsi="Times New Roman"/>
        </w:rPr>
        <w:t xml:space="preserve">Brown, R.M., and S.I. Guttman. 2002. Phylogenetic systematics of the </w:t>
      </w:r>
      <w:r>
        <w:rPr>
          <w:rFonts w:ascii="Times New Roman" w:cs="Times New Roman" w:hAnsi="Times New Roman"/>
          <w:i/>
        </w:rPr>
        <w:t>Rana signata</w:t>
      </w:r>
      <w:r>
        <w:rPr>
          <w:rFonts w:ascii="Times New Roman" w:cs="Times New Roman" w:hAnsi="Times New Roman"/>
        </w:rPr>
        <w:t xml:space="preserve"> complex of Philippine and Bornean stream frogs: reconsideration of Huxley’s modification of Wallace’s Line at the Oriental-Australian faunal zone interface. Biological Journal of the Linnaean Society 76:393–461.</w:t>
      </w:r>
    </w:p>
    <w:p>
      <w:pPr>
        <w:pStyle w:val="style0"/>
        <w:spacing w:line="480" w:lineRule="auto"/>
        <w:ind w:hanging="720" w:left="720" w:right="0"/>
      </w:pPr>
      <w:r>
        <w:rPr>
          <w:rFonts w:ascii="Times New Roman" w:cs="Times New Roman" w:hAnsi="Times New Roman"/>
        </w:rPr>
        <w:t xml:space="preserve">Chan, K.O., and A. Norhayati. 2009. Distribution and natural history notes on some poorly known frogs and snakes from Peninsular Malaysia. Herpetological Review 40:294–301. </w:t>
      </w:r>
    </w:p>
    <w:p>
      <w:pPr>
        <w:pStyle w:val="style0"/>
        <w:spacing w:line="480" w:lineRule="auto"/>
        <w:ind w:hanging="720" w:left="720" w:right="0"/>
      </w:pPr>
      <w:r>
        <w:rPr>
          <w:rFonts w:ascii="Times New Roman" w:cs="Times New Roman" w:hAnsi="Times New Roman"/>
        </w:rPr>
        <w:t>Chan, K.O., D. Belabut, and A. Norhayati. 2010. A revised checklist of the amphibians of Peninsular Malaysia. Russian Journal of Herpetology 17:202–206.</w:t>
      </w:r>
    </w:p>
    <w:p>
      <w:pPr>
        <w:pStyle w:val="style0"/>
        <w:widowControl w:val="false"/>
        <w:spacing w:line="480" w:lineRule="auto"/>
        <w:ind w:hanging="720" w:left="720" w:right="0"/>
      </w:pPr>
      <w:r>
        <w:rPr>
          <w:rFonts w:ascii="Times New Roman" w:cs="Times New Roman" w:hAnsi="Times New Roman"/>
        </w:rPr>
        <w:t>De Queiroz, K. 2005. A Unified Concept of Species and Its Consequences for the Future of Taxonomy. Proceedings of the California Academy of Sciences 56:196–215.</w:t>
      </w:r>
    </w:p>
    <w:p>
      <w:pPr>
        <w:pStyle w:val="style0"/>
        <w:widowControl w:val="false"/>
        <w:spacing w:line="480" w:lineRule="auto"/>
        <w:ind w:hanging="720" w:left="720" w:right="0"/>
      </w:pPr>
      <w:r>
        <w:rPr>
          <w:rFonts w:ascii="Times New Roman" w:cs="Times New Roman" w:hAnsi="Times New Roman"/>
        </w:rPr>
        <w:t>Dring, J.C.M., C.J. McCarthy, and A.J. Whitten. 1989. The terrestrial herpetofauna of the Mentawai Islands, Indonesia. Indo-Malayan Zoology 6:119–132.</w:t>
      </w:r>
    </w:p>
    <w:p>
      <w:pPr>
        <w:pStyle w:val="style0"/>
        <w:widowControl w:val="false"/>
        <w:spacing w:line="480" w:lineRule="auto"/>
        <w:ind w:hanging="720" w:left="720" w:right="0"/>
      </w:pPr>
      <w:r>
        <w:rPr>
          <w:rFonts w:ascii="Times New Roman" w:cs="Times New Roman" w:hAnsi="Times New Roman"/>
        </w:rPr>
        <w:t xml:space="preserve">Esselstyn, J.A., H.J.D. Garcia, M.G. Saulog, and L.R. Heaney. 2008. A new species of </w:t>
      </w:r>
      <w:r>
        <w:rPr>
          <w:rFonts w:ascii="Times New Roman" w:cs="Times New Roman" w:hAnsi="Times New Roman"/>
          <w:i/>
        </w:rPr>
        <w:t>Desmalopex</w:t>
      </w:r>
      <w:r>
        <w:rPr>
          <w:rFonts w:ascii="Times New Roman" w:cs="Times New Roman" w:hAnsi="Times New Roman"/>
        </w:rPr>
        <w:t xml:space="preserve"> (Pteropodidae) from the Philippines, with a phylogenteic analysis of the Pteropodini. Journal of Mammalogy 89:815–825.</w:t>
      </w:r>
    </w:p>
    <w:p>
      <w:pPr>
        <w:pStyle w:val="style0"/>
        <w:widowControl w:val="false"/>
        <w:spacing w:line="480" w:lineRule="auto"/>
        <w:ind w:hanging="720" w:left="720" w:right="0"/>
      </w:pPr>
      <w:r>
        <w:rPr>
          <w:rFonts w:ascii="Times New Roman" w:cs="Times New Roman" w:hAnsi="Times New Roman"/>
        </w:rPr>
        <w:t xml:space="preserve">Evans, B.J., R.M. Brown, J.A. McGuire, J. Supriatna, N. Andayani, A.C. Diesmos, D. Iskandar, D.J. Melnick, and D.C. Cannatella. 2003. Phylogenetics of fanged frogs: testing biogeographical hypotheses at the interface of the Asian and Australian faunal zones. Systematic Biology 52:794–819. </w:t>
      </w:r>
    </w:p>
    <w:p>
      <w:pPr>
        <w:pStyle w:val="style0"/>
        <w:widowControl w:val="false"/>
        <w:spacing w:line="480" w:lineRule="auto"/>
        <w:ind w:hanging="720" w:left="720" w:right="0"/>
      </w:pPr>
      <w:r>
        <w:rPr>
          <w:rFonts w:ascii="Times New Roman" w:cs="Times New Roman" w:hAnsi="Times New Roman"/>
        </w:rPr>
        <w:t xml:space="preserve">Geyh, M.A., H.-R. Kudrass, and H. Streif. 1979. Sea-level changes during the late Pleistocene and Holocene in the Strait of Malacca. Nature 278:441–443. </w:t>
      </w:r>
    </w:p>
    <w:p>
      <w:pPr>
        <w:pStyle w:val="style0"/>
        <w:widowControl w:val="false"/>
        <w:spacing w:line="480" w:lineRule="auto"/>
        <w:ind w:hanging="620" w:left="620" w:right="0"/>
      </w:pPr>
      <w:r>
        <w:rPr>
          <w:rFonts w:ascii="Times New Roman" w:cs="Times New Roman" w:hAnsi="Times New Roman"/>
        </w:rPr>
        <w:t>Inger, R.F. 1954. Systematics and zoogeography of Philippine Amphibia. Fieldiana 33:183–531.</w:t>
      </w:r>
    </w:p>
    <w:p>
      <w:pPr>
        <w:pStyle w:val="style0"/>
        <w:tabs>
          <w:tab w:leader="none" w:pos="8520" w:val="left"/>
        </w:tabs>
        <w:spacing w:line="480" w:lineRule="auto"/>
        <w:ind w:hanging="620" w:left="620" w:right="0"/>
      </w:pPr>
      <w:r>
        <w:rPr>
          <w:rFonts w:ascii="Times New Roman" w:cs="Times New Roman" w:hAnsi="Times New Roman"/>
        </w:rPr>
        <w:t>Inger, R.F. 1966. The systematics and zoogeography of the Amphibia of Borneo.  Fieldiana 52:1–402.</w:t>
      </w:r>
    </w:p>
    <w:p>
      <w:pPr>
        <w:pStyle w:val="style0"/>
        <w:spacing w:line="480" w:lineRule="auto"/>
      </w:pPr>
      <w:r>
        <w:rPr>
          <w:rFonts w:ascii="Times New Roman" w:cs="Times New Roman" w:hAnsi="Times New Roman"/>
        </w:rPr>
        <w:t xml:space="preserve">Leong, T.M., and B.L. Lim. 2003. A new species of </w:t>
      </w:r>
      <w:r>
        <w:rPr>
          <w:rFonts w:ascii="Times New Roman" w:cs="Times New Roman" w:hAnsi="Times New Roman"/>
          <w:i/>
        </w:rPr>
        <w:t>Rana</w:t>
      </w:r>
      <w:r>
        <w:rPr>
          <w:rFonts w:ascii="Times New Roman" w:cs="Times New Roman" w:hAnsi="Times New Roman"/>
        </w:rPr>
        <w:t xml:space="preserve"> (Amphibia: Anura: Ranidae) </w:t>
        <w:tab/>
        <w:t xml:space="preserve">from the highlands of the Malay Peninsula, with diagnostic larval descriptions. </w:t>
        <w:tab/>
        <w:t>Raffles Bulletin of Zoology 51:115–122.</w:t>
      </w:r>
    </w:p>
    <w:p>
      <w:pPr>
        <w:pStyle w:val="style0"/>
        <w:spacing w:line="480" w:lineRule="auto"/>
      </w:pPr>
      <w:r>
        <w:rPr>
          <w:rFonts w:ascii="Times New Roman" w:cs="Times New Roman" w:hAnsi="Times New Roman"/>
        </w:rPr>
        <w:t xml:space="preserve">Leong, T.M., and B.L. Lim. 2004. </w:t>
      </w:r>
      <w:r>
        <w:rPr>
          <w:rFonts w:ascii="Times New Roman" w:cs="Times New Roman" w:hAnsi="Times New Roman"/>
          <w:i/>
        </w:rPr>
        <w:t>Rana siberu</w:t>
      </w:r>
      <w:r>
        <w:rPr>
          <w:rFonts w:ascii="Times New Roman" w:cs="Times New Roman" w:hAnsi="Times New Roman"/>
        </w:rPr>
        <w:t xml:space="preserve"> Dring, McCarthy and Whitten, 1990 – A </w:t>
        <w:tab/>
        <w:t xml:space="preserve">first record for Peninsular Malaysia (Amphibia: Anura: Ranidae). Raffles Bulletin </w:t>
        <w:tab/>
        <w:t>of Zoology 52:261–263.</w:t>
      </w:r>
    </w:p>
    <w:p>
      <w:pPr>
        <w:pStyle w:val="style0"/>
        <w:spacing w:line="480" w:lineRule="auto"/>
      </w:pPr>
      <w:r>
        <w:rPr>
          <w:rFonts w:ascii="Times New Roman" w:cs="Times New Roman" w:hAnsi="Times New Roman"/>
        </w:rPr>
        <w:t xml:space="preserve">Maddison, D.R., and W.P. Maddison. 2005. MacClade: analysis of phylogeny and </w:t>
        <w:tab/>
        <w:t>character evolution.</w:t>
      </w:r>
      <w:r>
        <w:rPr>
          <w:rFonts w:ascii="Times New Roman" w:cs="Times New Roman" w:hAnsi="Times New Roman"/>
          <w:i/>
        </w:rPr>
        <w:t xml:space="preserve"> </w:t>
      </w:r>
      <w:r>
        <w:rPr>
          <w:rFonts w:ascii="Times New Roman" w:cs="Times New Roman" w:hAnsi="Times New Roman"/>
        </w:rPr>
        <w:t>Version 4.08. Sinauer, Sunderland.</w:t>
      </w:r>
    </w:p>
    <w:p>
      <w:pPr>
        <w:pStyle w:val="style0"/>
        <w:spacing w:line="480" w:lineRule="auto"/>
        <w:ind w:hanging="360" w:left="360" w:right="0"/>
      </w:pPr>
      <w:r>
        <w:rPr>
          <w:rFonts w:ascii="Times New Roman" w:cs="Times New Roman" w:hAnsi="Times New Roman"/>
        </w:rPr>
        <w:t xml:space="preserve">Myers, N., R.A. Mittermeier, C.G. Mittermeier, A.B. Gustavo, and J. Kent. 2000. </w:t>
        <w:tab/>
        <w:t xml:space="preserve">Biodiversity hotspots for conservation priorities. Nature 403:853–858. </w:t>
      </w:r>
    </w:p>
    <w:p>
      <w:pPr>
        <w:pStyle w:val="style0"/>
        <w:spacing w:line="480" w:lineRule="auto"/>
        <w:ind w:hanging="360" w:left="360" w:right="0"/>
      </w:pPr>
      <w:r>
        <w:rPr>
          <w:rFonts w:ascii="Times New Roman" w:cs="Times New Roman" w:hAnsi="Times New Roman"/>
        </w:rPr>
        <w:t xml:space="preserve">Ng, P.K.L., J.B. Tay, and K.K.P. Lim. 1994. Diversity and conservation of blackwater </w:t>
        <w:tab/>
        <w:t xml:space="preserve">fishes in Peninsular Malaysia, particularly in the North Selangor peat swamp </w:t>
        <w:tab/>
        <w:t>forest. Developments in Hydrobiology 98:203–218.</w:t>
      </w:r>
    </w:p>
    <w:p>
      <w:pPr>
        <w:pStyle w:val="style0"/>
        <w:spacing w:line="480" w:lineRule="auto"/>
        <w:ind w:hanging="360" w:left="360" w:right="0"/>
      </w:pPr>
      <w:r>
        <w:rPr>
          <w:rFonts w:ascii="Times New Roman" w:cs="Times New Roman" w:hAnsi="Times New Roman"/>
        </w:rPr>
        <w:t xml:space="preserve">Posada, D., and K.A. Crandall. 1998. Modeltest: testing the model of DNA substitution. </w:t>
        <w:tab/>
        <w:t>Bioinformatics 14:817–818.</w:t>
      </w:r>
    </w:p>
    <w:p>
      <w:pPr>
        <w:pStyle w:val="style0"/>
        <w:spacing w:line="480" w:lineRule="auto"/>
        <w:ind w:hanging="360" w:left="360" w:right="0"/>
      </w:pPr>
      <w:r>
        <w:rPr>
          <w:rFonts w:ascii="Times New Roman" w:cs="Times New Roman" w:hAnsi="Times New Roman"/>
        </w:rPr>
        <w:t xml:space="preserve">Rambaut, A., and A.J. Drummond. 2007. Tracer v1.4. Available at: </w:t>
        <w:tab/>
        <w:t>http://beast.bio.ed.ac.uk/Tracer.</w:t>
      </w:r>
    </w:p>
    <w:p>
      <w:pPr>
        <w:pStyle w:val="style0"/>
        <w:spacing w:line="480" w:lineRule="auto"/>
        <w:ind w:hanging="388" w:left="388" w:right="0"/>
      </w:pPr>
      <w:r>
        <w:rPr>
          <w:rFonts w:ascii="Times New Roman" w:cs="Times New Roman" w:hAnsi="Times New Roman"/>
        </w:rPr>
        <w:t xml:space="preserve">Ronquist, F., and J.P. Huelsenbeck. 2003. MrBayes 3:  Bayesian phylogenetic inference </w:t>
        <w:tab/>
        <w:t>under mixed models. Bioinformatics 19:1572–1574.</w:t>
      </w:r>
    </w:p>
    <w:p>
      <w:pPr>
        <w:pStyle w:val="style0"/>
        <w:spacing w:line="480" w:lineRule="auto"/>
        <w:ind w:hanging="400" w:left="413" w:right="0"/>
      </w:pPr>
      <w:r>
        <w:rPr>
          <w:rFonts w:ascii="Times New Roman" w:cs="Times New Roman" w:hAnsi="Times New Roman"/>
        </w:rPr>
        <w:t xml:space="preserve">Savage, J.M., and R.W. Heyer. 1997. Digital webbing formulae for anurans: a refinement. </w:t>
        <w:tab/>
        <w:t>Herpetological Review 28:131.</w:t>
      </w:r>
    </w:p>
    <w:p>
      <w:pPr>
        <w:pStyle w:val="style0"/>
        <w:spacing w:line="480" w:lineRule="auto"/>
        <w:ind w:hanging="375" w:left="388" w:right="0"/>
      </w:pPr>
      <w:r>
        <w:rPr>
          <w:rFonts w:ascii="Times New Roman" w:cs="Times New Roman" w:hAnsi="Times New Roman"/>
        </w:rPr>
        <w:t xml:space="preserve">Stamatakis, A. 2006. RAxML-VI-HPC: Maximum Likelihood-based Phylogenetic </w:t>
        <w:tab/>
        <w:t xml:space="preserve">Analyses with Thousands of Taxa and Mixed Models. Bioinformatics </w:t>
        <w:tab/>
        <w:t>22:2688–2690.</w:t>
      </w:r>
    </w:p>
    <w:p>
      <w:pPr>
        <w:pStyle w:val="style0"/>
        <w:spacing w:line="480" w:lineRule="auto"/>
        <w:ind w:hanging="425" w:left="425" w:right="0"/>
        <w:jc w:val="both"/>
      </w:pPr>
      <w:r>
        <w:rPr>
          <w:rStyle w:val="style17"/>
          <w:rFonts w:ascii="Times New Roman" w:hAnsi="Times New Roman"/>
          <w:color w:val="000000"/>
        </w:rPr>
        <w:t xml:space="preserve">Swofford, D.L. 2002. PAUP*. Phylogenetic Analysis Using Parsimony (*and Other </w:t>
        <w:tab/>
        <w:t xml:space="preserve">Methods). Version </w:t>
      </w:r>
      <w:r>
        <w:rPr>
          <w:rFonts w:ascii="Times New Roman" w:cs="Times New Roman" w:hAnsi="Times New Roman"/>
        </w:rPr>
        <w:t>4.0b10. Sunderland, Massachusetts.</w:t>
      </w:r>
    </w:p>
    <w:p>
      <w:pPr>
        <w:pStyle w:val="style0"/>
        <w:spacing w:line="480" w:lineRule="auto"/>
        <w:ind w:hanging="450" w:left="450" w:right="0"/>
        <w:jc w:val="both"/>
      </w:pPr>
      <w:r>
        <w:rPr>
          <w:rStyle w:val="style17"/>
          <w:rFonts w:ascii="Times New Roman" w:hAnsi="Times New Roman"/>
          <w:color w:val="000000"/>
        </w:rPr>
        <w:t xml:space="preserve">Taylor, E.H. 1962. The amphibian fauna of Thailand. University of Kansas Science </w:t>
        <w:tab/>
        <w:t>Bulletin 43:267–599.</w:t>
      </w:r>
    </w:p>
    <w:p>
      <w:pPr>
        <w:pStyle w:val="style0"/>
        <w:spacing w:line="480" w:lineRule="auto"/>
        <w:ind w:hanging="475" w:left="475" w:right="0"/>
      </w:pPr>
      <w:r>
        <w:rPr>
          <w:rFonts w:ascii="Times New Roman" w:cs="Times New Roman" w:hAnsi="Times New Roman"/>
        </w:rPr>
        <w:t>v</w:t>
      </w:r>
      <w:r>
        <w:rPr>
          <w:rFonts w:ascii="Times New Roman" w:cs="Times New Roman" w:hAnsi="Times New Roman"/>
        </w:rPr>
        <w:t xml:space="preserve">an Kampen, P.N. 1910. Eine neue </w:t>
      </w:r>
      <w:r>
        <w:rPr>
          <w:rFonts w:ascii="Times New Roman" w:cs="Times New Roman" w:hAnsi="Times New Roman"/>
          <w:i/>
        </w:rPr>
        <w:t>Nectophryne</w:t>
      </w:r>
      <w:r>
        <w:rPr>
          <w:rFonts w:ascii="Times New Roman" w:cs="Times New Roman" w:hAnsi="Times New Roman"/>
        </w:rPr>
        <w:t xml:space="preserve">-Art und Amphibien von Deli  </w:t>
        <w:tab/>
        <w:t>(Sumatra). Natuurkundif Tijdschrift voor Nederlandsch Indië 69:18–24.</w:t>
      </w:r>
    </w:p>
    <w:p>
      <w:pPr>
        <w:pStyle w:val="style0"/>
        <w:spacing w:line="480" w:lineRule="auto"/>
        <w:ind w:hanging="500" w:left="488" w:right="0"/>
      </w:pPr>
      <w:r>
        <w:rPr>
          <w:rFonts w:ascii="Times New Roman" w:cs="Times New Roman" w:hAnsi="Times New Roman"/>
        </w:rPr>
        <w:t>v</w:t>
      </w:r>
      <w:r>
        <w:rPr>
          <w:rFonts w:ascii="Times New Roman" w:cs="Times New Roman" w:hAnsi="Times New Roman"/>
        </w:rPr>
        <w:t xml:space="preserve">an Kampen, P.N. 1923. The Amphibia of the Indo-Australian Archipelago. Leiden, </w:t>
        <w:tab/>
        <w:t xml:space="preserve">Netherlands. </w:t>
      </w:r>
    </w:p>
    <w:p>
      <w:pPr>
        <w:pStyle w:val="style0"/>
        <w:tabs>
          <w:tab w:leader="none" w:pos="1463" w:val="left"/>
        </w:tabs>
        <w:spacing w:line="480" w:lineRule="auto"/>
        <w:ind w:hanging="475" w:left="475" w:right="0"/>
      </w:pPr>
      <w:r>
        <w:rPr>
          <w:rFonts w:ascii="Times New Roman" w:cs="Times New Roman" w:hAnsi="Times New Roman"/>
        </w:rPr>
        <w:t xml:space="preserve">Voris, H. 2000. Maps of Pleistocene sea levels in Southeast Asia: shorelines, river </w:t>
        <w:tab/>
        <w:tab/>
        <w:t>systems and time durations. Journal of Biogeography 27:1153–1167.</w:t>
      </w:r>
    </w:p>
    <w:p>
      <w:pPr>
        <w:pStyle w:val="style0"/>
        <w:spacing w:line="480" w:lineRule="auto"/>
        <w:ind w:hanging="500" w:left="488" w:right="0"/>
      </w:pPr>
      <w:r>
        <w:rPr>
          <w:rFonts w:ascii="Times New Roman" w:cs="Times New Roman" w:hAnsi="Times New Roman"/>
        </w:rPr>
        <w:t xml:space="preserve">Zainudin, R., and S.N. Sazali. 2012. A morphometric analysis of </w:t>
      </w:r>
      <w:r>
        <w:rPr>
          <w:rFonts w:ascii="Times New Roman" w:cs="Times New Roman" w:hAnsi="Times New Roman"/>
          <w:i/>
        </w:rPr>
        <w:t>Hylarana signata</w:t>
      </w:r>
      <w:r>
        <w:rPr>
          <w:rFonts w:ascii="Times New Roman" w:cs="Times New Roman" w:hAnsi="Times New Roman"/>
        </w:rPr>
        <w:t xml:space="preserve"> group </w:t>
        <w:tab/>
        <w:t xml:space="preserve">(Previously known as </w:t>
      </w:r>
      <w:r>
        <w:rPr>
          <w:rFonts w:ascii="Times New Roman" w:cs="Times New Roman" w:hAnsi="Times New Roman"/>
          <w:i/>
        </w:rPr>
        <w:t>Rana signata</w:t>
      </w:r>
      <w:r>
        <w:rPr>
          <w:rFonts w:ascii="Times New Roman" w:cs="Times New Roman" w:hAnsi="Times New Roman"/>
        </w:rPr>
        <w:t xml:space="preserve"> and </w:t>
      </w:r>
      <w:r>
        <w:rPr>
          <w:rFonts w:ascii="Times New Roman" w:cs="Times New Roman" w:hAnsi="Times New Roman"/>
          <w:i/>
        </w:rPr>
        <w:t>Rana picturata</w:t>
      </w:r>
      <w:r>
        <w:rPr>
          <w:rFonts w:ascii="Times New Roman" w:cs="Times New Roman" w:hAnsi="Times New Roman"/>
        </w:rPr>
        <w:t xml:space="preserve">) of Malaysia. </w:t>
        <w:tab/>
        <w:t xml:space="preserve">International Journal of Modern Physics: Conference Series 9:199–208. </w:t>
      </w:r>
    </w:p>
    <w:p>
      <w:pPr>
        <w:pStyle w:val="style0"/>
        <w:spacing w:line="480" w:lineRule="auto"/>
      </w:pPr>
      <w:r>
        <w:rPr>
          <w:rFonts w:ascii="Times New Roman" w:hAnsi="Times New Roman"/>
        </w:rPr>
      </w:r>
    </w:p>
    <w:p>
      <w:pPr>
        <w:pStyle w:val="style0"/>
        <w:spacing w:line="480" w:lineRule="auto"/>
        <w:jc w:val="center"/>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jc w:val="center"/>
      </w:pPr>
      <w:r>
        <w:rPr>
          <w:rFonts w:ascii="Times New Roman" w:hAnsi="Times New Roman"/>
        </w:rPr>
      </w:r>
    </w:p>
    <w:p>
      <w:pPr>
        <w:pStyle w:val="style0"/>
        <w:spacing w:line="480" w:lineRule="auto"/>
        <w:jc w:val="center"/>
      </w:pPr>
      <w:r>
        <w:rPr>
          <w:rFonts w:ascii="Times New Roman" w:cs="Times New Roman" w:hAnsi="Times New Roman"/>
          <w:smallCaps/>
        </w:rPr>
        <w:t>Table</w:t>
      </w:r>
      <w:r>
        <w:rPr>
          <w:rFonts w:ascii="Times New Roman" w:cs="Times New Roman" w:hAnsi="Times New Roman"/>
        </w:rPr>
        <w:t xml:space="preserve"> 1</w:t>
      </w:r>
      <w:r>
        <w:rPr>
          <w:rFonts w:ascii="Times New Roman" w:cs="Times New Roman" w:hAnsi="Times New Roman"/>
          <w:i/>
        </w:rPr>
        <w:t>.</w:t>
      </w:r>
      <w:r>
        <w:rPr>
          <w:rFonts w:ascii="Times New Roman" w:cs="Times New Roman" w:hAnsi="Times New Roman"/>
          <w:b/>
          <w:bCs/>
        </w:rPr>
        <w:t>—</w:t>
      </w:r>
      <w:r>
        <w:rPr>
          <w:rFonts w:ascii="Times New Roman" w:cs="Times New Roman" w:hAnsi="Times New Roman"/>
          <w:b w:val="false"/>
          <w:bCs w:val="false"/>
        </w:rPr>
        <w:t>Morphometric m</w:t>
      </w:r>
      <w:r>
        <w:rPr>
          <w:rFonts w:ascii="Times New Roman" w:cs="Times New Roman" w:hAnsi="Times New Roman"/>
        </w:rPr>
        <w:t xml:space="preserve">easurements of the </w:t>
      </w:r>
      <w:r>
        <w:rPr>
          <w:rFonts w:ascii="Times New Roman" w:cs="Times New Roman" w:hAnsi="Times New Roman"/>
        </w:rPr>
        <w:t>holotype and paratype</w:t>
      </w:r>
      <w:r>
        <w:rPr>
          <w:rFonts w:ascii="Times New Roman" w:cs="Times New Roman" w:hAnsi="Times New Roman"/>
        </w:rPr>
        <w:t xml:space="preserve"> in millimeters. See Materials and Methods for abbreviations.</w:t>
      </w:r>
    </w:p>
    <w:tbl>
      <w:tblPr>
        <w:jc w:val="left"/>
        <w:tblInd w:type="dxa" w:w="0"/>
        <w:tblBorders>
          <w:top w:color="00000A" w:space="0" w:sz="4" w:val="single"/>
          <w:left w:val="none"/>
          <w:bottom w:val="none"/>
          <w:insideH w:val="none"/>
          <w:right w:val="none"/>
          <w:insideV w:val="none"/>
        </w:tblBorders>
        <w:tblCellMar>
          <w:top w:type="dxa" w:w="0"/>
          <w:left w:type="dxa" w:w="108"/>
          <w:bottom w:type="dxa" w:w="0"/>
          <w:right w:type="dxa" w:w="108"/>
        </w:tblCellMar>
      </w:tblPr>
      <w:tblGrid>
        <w:gridCol w:w="1298"/>
        <w:gridCol w:w="1775"/>
        <w:gridCol w:w="1892"/>
      </w:tblGrid>
      <w:tr>
        <w:trPr>
          <w:trHeight w:hRule="atLeast" w:val="300"/>
          <w:cantSplit w:val="false"/>
        </w:trPr>
        <w:tc>
          <w:tcPr>
            <w:tcW w:type="dxa" w:w="1298"/>
            <w:tcBorders>
              <w:top w:color="00000A" w:space="0" w:sz="4" w:val="single"/>
              <w:left w:val="none"/>
              <w:bottom w:val="none"/>
              <w:right w:val="none"/>
            </w:tcBorders>
            <w:shd w:fill="FFFFFF" w:val="clear"/>
            <w:vAlign w:val="center"/>
          </w:tcPr>
          <w:p>
            <w:pPr>
              <w:pStyle w:val="style0"/>
              <w:spacing w:line="480" w:lineRule="auto"/>
            </w:pPr>
            <w:r>
              <w:rPr>
                <w:rFonts w:ascii="Times New Roman" w:hAnsi="Times New Roman"/>
              </w:rPr>
            </w:r>
          </w:p>
        </w:tc>
        <w:tc>
          <w:tcPr>
            <w:tcW w:type="dxa" w:w="1775"/>
            <w:tcBorders>
              <w:top w:color="00000A" w:space="0" w:sz="4" w:val="singl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ZRC 1.10536</w:t>
            </w:r>
          </w:p>
        </w:tc>
        <w:tc>
          <w:tcPr>
            <w:tcW w:type="dxa" w:w="1892"/>
            <w:tcBorders>
              <w:top w:color="00000A" w:space="0" w:sz="4" w:val="singl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DWNP 1189</w:t>
            </w:r>
          </w:p>
        </w:tc>
      </w:tr>
      <w:tr>
        <w:trPr>
          <w:trHeight w:hRule="atLeast" w:val="300"/>
          <w:cantSplit w:val="false"/>
        </w:trPr>
        <w:tc>
          <w:tcPr>
            <w:tcW w:type="dxa" w:w="1298"/>
            <w:tcBorders>
              <w:top w:val="none"/>
              <w:left w:val="none"/>
              <w:bottom w:color="00000A" w:space="0" w:sz="4" w:val="single"/>
              <w:right w:val="none"/>
            </w:tcBorders>
            <w:shd w:fill="FFFFFF" w:val="clear"/>
            <w:vAlign w:val="center"/>
          </w:tcPr>
          <w:p>
            <w:pPr>
              <w:pStyle w:val="style0"/>
              <w:spacing w:line="480" w:lineRule="auto"/>
            </w:pPr>
            <w:r>
              <w:rPr>
                <w:rFonts w:ascii="Times New Roman" w:hAnsi="Times New Roman"/>
              </w:rPr>
            </w:r>
          </w:p>
        </w:tc>
        <w:tc>
          <w:tcPr>
            <w:tcW w:type="dxa" w:w="1775"/>
            <w:tcBorders>
              <w:top w:val="none"/>
              <w:left w:val="none"/>
              <w:bottom w:color="00000A" w:space="0" w:sz="4" w:val="single"/>
              <w:right w:val="none"/>
            </w:tcBorders>
            <w:shd w:fill="FFFFFF" w:val="clear"/>
            <w:vAlign w:val="center"/>
          </w:tcPr>
          <w:p>
            <w:pPr>
              <w:pStyle w:val="style0"/>
              <w:spacing w:line="480" w:lineRule="auto"/>
            </w:pPr>
            <w:r>
              <w:rPr>
                <w:rFonts w:ascii="Times New Roman" w:cs="Times New Roman" w:eastAsia="Times New Roman" w:hAnsi="Times New Roman"/>
                <w:color w:val="000000"/>
              </w:rPr>
              <w:t>(Holotype)</w:t>
            </w:r>
          </w:p>
        </w:tc>
        <w:tc>
          <w:tcPr>
            <w:tcW w:type="dxa" w:w="1892"/>
            <w:tcBorders>
              <w:top w:val="none"/>
              <w:left w:val="none"/>
              <w:bottom w:color="00000A" w:space="0" w:sz="4" w:val="single"/>
              <w:right w:val="none"/>
            </w:tcBorders>
            <w:shd w:fill="FFFFFF" w:val="clear"/>
            <w:vAlign w:val="center"/>
          </w:tcPr>
          <w:p>
            <w:pPr>
              <w:pStyle w:val="style0"/>
              <w:spacing w:line="480" w:lineRule="auto"/>
            </w:pPr>
            <w:r>
              <w:rPr>
                <w:rFonts w:ascii="Times New Roman" w:cs="Times New Roman" w:eastAsia="Times New Roman" w:hAnsi="Times New Roman"/>
                <w:color w:val="000000"/>
              </w:rPr>
              <w:t>(Paratype)</w:t>
            </w:r>
          </w:p>
        </w:tc>
      </w:tr>
      <w:tr>
        <w:trPr>
          <w:trHeight w:hRule="atLeast" w:val="300"/>
          <w:cantSplit w:val="false"/>
        </w:trPr>
        <w:tc>
          <w:tcPr>
            <w:tcW w:type="dxa" w:w="1298"/>
            <w:tcBorders>
              <w:top w:color="00000A" w:space="0" w:sz="4" w:val="singl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Sex</w:t>
            </w:r>
          </w:p>
        </w:tc>
        <w:tc>
          <w:tcPr>
            <w:tcW w:type="dxa" w:w="1775"/>
            <w:tcBorders>
              <w:top w:color="00000A" w:space="0" w:sz="4" w:val="singl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Male</w:t>
            </w:r>
          </w:p>
        </w:tc>
        <w:tc>
          <w:tcPr>
            <w:tcW w:type="dxa" w:w="1892"/>
            <w:tcBorders>
              <w:top w:color="00000A" w:space="0" w:sz="4" w:val="singl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Male</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SVL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37.4</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37.6</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HL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14.0</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15.2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HW</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12.0</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12.5</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SL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5.9</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6.4</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END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3.7</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4.2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NSD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2.5</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1.8</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IND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3.7</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3.6</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EED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6.7</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7.2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ED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6.0</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5.1</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IOD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3.2</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3.5</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TD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4.8</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2.2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TED</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1.4</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BL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7.3</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8.0</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FAL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8.1</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8.2</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FL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17.6</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17.7</w:t>
            </w:r>
          </w:p>
        </w:tc>
      </w:tr>
      <w:tr>
        <w:trPr>
          <w:trHeight w:hRule="atLeast" w:val="300"/>
          <w:cantSplit w:val="false"/>
        </w:trPr>
        <w:tc>
          <w:tcPr>
            <w:tcW w:type="dxa" w:w="1298"/>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TBL</w:t>
            </w:r>
          </w:p>
        </w:tc>
        <w:tc>
          <w:tcPr>
            <w:tcW w:type="dxa" w:w="1775"/>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19.9</w:t>
            </w:r>
          </w:p>
        </w:tc>
        <w:tc>
          <w:tcPr>
            <w:tcW w:type="dxa" w:w="1892"/>
            <w:tcBorders>
              <w:top w:val="none"/>
              <w:left w:val="none"/>
              <w:bottom w:val="none"/>
              <w:right w:val="none"/>
            </w:tcBorders>
            <w:shd w:fill="FFFFFF" w:val="clear"/>
            <w:vAlign w:val="center"/>
          </w:tcPr>
          <w:p>
            <w:pPr>
              <w:pStyle w:val="style0"/>
              <w:spacing w:line="480" w:lineRule="auto"/>
            </w:pPr>
            <w:r>
              <w:rPr>
                <w:rFonts w:ascii="Times New Roman" w:cs="Times New Roman" w:eastAsia="Times New Roman" w:hAnsi="Times New Roman"/>
                <w:color w:val="000000"/>
              </w:rPr>
              <w:t>19.2</w:t>
            </w:r>
          </w:p>
        </w:tc>
      </w:tr>
      <w:tr>
        <w:trPr>
          <w:trHeight w:hRule="atLeast" w:val="300"/>
          <w:cantSplit w:val="false"/>
        </w:trPr>
        <w:tc>
          <w:tcPr>
            <w:tcW w:type="dxa" w:w="1298"/>
            <w:tcBorders>
              <w:top w:val="none"/>
              <w:left w:val="none"/>
              <w:bottom w:color="00000A" w:space="0" w:sz="4" w:val="single"/>
              <w:right w:val="none"/>
            </w:tcBorders>
            <w:shd w:fill="FFFFFF" w:val="clear"/>
            <w:vAlign w:val="center"/>
          </w:tcPr>
          <w:p>
            <w:pPr>
              <w:pStyle w:val="style0"/>
              <w:spacing w:line="480" w:lineRule="auto"/>
            </w:pPr>
            <w:r>
              <w:rPr>
                <w:rFonts w:ascii="Times New Roman" w:cs="Times New Roman" w:eastAsia="Times New Roman" w:hAnsi="Times New Roman"/>
                <w:color w:val="000000"/>
              </w:rPr>
              <w:t>TL</w:t>
            </w:r>
          </w:p>
        </w:tc>
        <w:tc>
          <w:tcPr>
            <w:tcW w:type="dxa" w:w="1775"/>
            <w:tcBorders>
              <w:top w:val="none"/>
              <w:left w:val="none"/>
              <w:bottom w:color="00000A" w:space="0" w:sz="4" w:val="single"/>
              <w:right w:val="none"/>
            </w:tcBorders>
            <w:shd w:fill="FFFFFF" w:val="clear"/>
            <w:vAlign w:val="center"/>
          </w:tcPr>
          <w:p>
            <w:pPr>
              <w:pStyle w:val="style0"/>
              <w:spacing w:line="480" w:lineRule="auto"/>
            </w:pPr>
            <w:r>
              <w:rPr>
                <w:rFonts w:ascii="Times New Roman" w:cs="Times New Roman" w:eastAsia="Times New Roman" w:hAnsi="Times New Roman"/>
                <w:color w:val="000000"/>
              </w:rPr>
              <w:t>12.9</w:t>
            </w:r>
          </w:p>
        </w:tc>
        <w:tc>
          <w:tcPr>
            <w:tcW w:type="dxa" w:w="1892"/>
            <w:tcBorders>
              <w:top w:val="none"/>
              <w:left w:val="none"/>
              <w:bottom w:color="00000A" w:space="0" w:sz="4" w:val="single"/>
              <w:right w:val="none"/>
            </w:tcBorders>
            <w:shd w:fill="FFFFFF" w:val="clear"/>
            <w:vAlign w:val="center"/>
          </w:tcPr>
          <w:p>
            <w:pPr>
              <w:pStyle w:val="style0"/>
              <w:spacing w:line="480" w:lineRule="auto"/>
            </w:pPr>
            <w:r>
              <w:rPr>
                <w:rFonts w:ascii="Times New Roman" w:cs="Times New Roman" w:eastAsia="Times New Roman" w:hAnsi="Times New Roman"/>
                <w:color w:val="000000"/>
              </w:rPr>
              <w:t>10.6</w:t>
            </w:r>
          </w:p>
        </w:tc>
      </w:tr>
    </w:tbl>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jc w:val="center"/>
      </w:pPr>
      <w:r>
        <w:rPr>
          <w:rFonts w:ascii="Times New Roman" w:cs="Times New Roman" w:hAnsi="Times New Roman"/>
          <w:smallCaps/>
        </w:rPr>
        <w:t>Table</w:t>
      </w:r>
      <w:r>
        <w:rPr>
          <w:rFonts w:ascii="Times New Roman" w:cs="Times New Roman" w:hAnsi="Times New Roman"/>
        </w:rPr>
        <w:t xml:space="preserve"> 2</w:t>
      </w:r>
      <w:r>
        <w:rPr>
          <w:rFonts w:ascii="Times New Roman" w:cs="Times New Roman" w:hAnsi="Times New Roman"/>
          <w:i/>
        </w:rPr>
        <w:t>.</w:t>
      </w:r>
      <w:r>
        <w:rPr>
          <w:rFonts w:ascii="Times New Roman" w:cs="Times New Roman" w:hAnsi="Times New Roman"/>
          <w:b/>
          <w:bCs/>
        </w:rPr>
        <w:t>—</w:t>
      </w:r>
      <w:r>
        <w:rPr>
          <w:rFonts w:ascii="Times New Roman" w:cs="Times New Roman" w:hAnsi="Times New Roman"/>
        </w:rPr>
        <w:t>Samples used in this study and GenBank accession numbers. See Materials and Methods for museum abbreviations.</w:t>
      </w:r>
    </w:p>
    <w:tbl>
      <w:tblPr>
        <w:jc w:val="left"/>
        <w:tblInd w:type="dxa" w:w="93"/>
        <w:tblBorders>
          <w:top w:color="00000A" w:space="0" w:sz="4" w:val="single"/>
          <w:left w:val="none"/>
          <w:bottom w:color="00000A" w:space="0" w:sz="4" w:val="single"/>
          <w:insideH w:color="00000A" w:space="0" w:sz="4" w:val="single"/>
          <w:right w:val="none"/>
          <w:insideV w:val="none"/>
        </w:tblBorders>
        <w:tblCellMar>
          <w:top w:type="dxa" w:w="0"/>
          <w:left w:type="dxa" w:w="108"/>
          <w:bottom w:type="dxa" w:w="0"/>
          <w:right w:type="dxa" w:w="108"/>
        </w:tblCellMar>
      </w:tblPr>
      <w:tblGrid>
        <w:gridCol w:w="3087"/>
        <w:gridCol w:w="1075"/>
        <w:gridCol w:w="3464"/>
        <w:gridCol w:w="1349"/>
      </w:tblGrid>
      <w:tr>
        <w:trPr>
          <w:trHeight w:hRule="atLeast" w:val="300"/>
          <w:cantSplit w:val="false"/>
        </w:trPr>
        <w:tc>
          <w:tcPr>
            <w:tcW w:type="dxa" w:w="3087"/>
            <w:tcBorders>
              <w:top w:color="00000A" w:space="0" w:sz="4" w:val="singl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b/>
                <w:bCs/>
                <w:color w:val="000000"/>
              </w:rPr>
              <w:t>Species</w:t>
            </w:r>
          </w:p>
        </w:tc>
        <w:tc>
          <w:tcPr>
            <w:tcW w:type="dxa" w:w="1075"/>
            <w:tcBorders>
              <w:top w:color="00000A" w:space="0" w:sz="4" w:val="singl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b/>
                <w:bCs/>
                <w:color w:val="000000"/>
              </w:rPr>
              <w:t>Voucher</w:t>
            </w:r>
          </w:p>
        </w:tc>
        <w:tc>
          <w:tcPr>
            <w:tcW w:type="dxa" w:w="3464"/>
            <w:tcBorders>
              <w:top w:color="00000A" w:space="0" w:sz="4" w:val="singl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b/>
                <w:bCs/>
                <w:color w:val="000000"/>
              </w:rPr>
              <w:t>Locality</w:t>
            </w:r>
          </w:p>
        </w:tc>
        <w:tc>
          <w:tcPr>
            <w:tcW w:type="dxa" w:w="1349"/>
            <w:tcBorders>
              <w:top w:color="00000A" w:space="0" w:sz="4" w:val="singl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b/>
                <w:bCs/>
                <w:color w:val="000000"/>
              </w:rPr>
              <w:t>Genbank #</w:t>
            </w:r>
          </w:p>
        </w:tc>
      </w:tr>
      <w:tr>
        <w:trPr>
          <w:trHeight w:hRule="atLeast" w:val="300"/>
          <w:cantSplit w:val="false"/>
        </w:trPr>
        <w:tc>
          <w:tcPr>
            <w:tcW w:type="dxa" w:w="3087"/>
            <w:tcBorders>
              <w:top w:color="00000A" w:space="0" w:sz="4" w:val="singl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glandulosa</w:t>
            </w:r>
          </w:p>
        </w:tc>
        <w:tc>
          <w:tcPr>
            <w:tcW w:type="dxa" w:w="1075"/>
            <w:tcBorders>
              <w:top w:color="00000A" w:space="0" w:sz="4" w:val="singl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248254</w:t>
            </w:r>
          </w:p>
        </w:tc>
        <w:tc>
          <w:tcPr>
            <w:tcW w:type="dxa" w:w="3464"/>
            <w:tcBorders>
              <w:top w:color="00000A" w:space="0" w:sz="4" w:val="singl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Brunei, Belait District</w:t>
            </w:r>
          </w:p>
        </w:tc>
        <w:tc>
          <w:tcPr>
            <w:tcW w:type="dxa" w:w="1349"/>
            <w:tcBorders>
              <w:top w:color="00000A" w:space="0" w:sz="4" w:val="single"/>
              <w:left w:val="none"/>
              <w:bottom w:val="none"/>
              <w:right w:val="none"/>
            </w:tcBorders>
            <w:shd w:fill="FFFFFF" w:val="clear"/>
          </w:tcPr>
          <w:p>
            <w:pPr>
              <w:pStyle w:val="style0"/>
              <w:spacing w:line="480" w:lineRule="auto"/>
            </w:pPr>
            <w:r>
              <w:rPr>
                <w:rFonts w:ascii="Times New Roman" w:hAnsi="Times New Roman"/>
              </w:rPr>
            </w:r>
          </w:p>
        </w:tc>
      </w:tr>
      <w:tr>
        <w:trPr>
          <w:trHeight w:hRule="atLeast" w:val="3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baramica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249870</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Malaysia, Sabah, Beaufort District</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3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baramica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248218</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Brunei, Belait District</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6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 xml:space="preserve">Hylarana </w:t>
            </w:r>
            <w:r>
              <w:rPr>
                <w:rFonts w:ascii="Times New Roman" w:cs="Times New Roman" w:eastAsia="Times New Roman" w:hAnsi="Times New Roman"/>
                <w:color w:val="000000"/>
              </w:rPr>
              <w:t>sp</w:t>
            </w:r>
            <w:r>
              <w:rPr>
                <w:rFonts w:ascii="Times New Roman" w:cs="Times New Roman" w:eastAsia="Times New Roman" w:hAnsi="Times New Roman"/>
                <w:i/>
                <w:iCs/>
                <w:color w:val="000000"/>
              </w:rPr>
              <w:t xml:space="preserve"> </w:t>
            </w:r>
            <w:r>
              <w:rPr>
                <w:rFonts w:ascii="Times New Roman" w:cs="Times New Roman" w:eastAsia="Times New Roman" w:hAnsi="Times New Roman"/>
                <w:i w:val="false"/>
                <w:iCs w:val="false"/>
                <w:color w:val="000000"/>
              </w:rPr>
              <w:t>Sumatra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MK 334</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Northern Sumatra Island, Langkat, Bandar Baru, Batak Mountains</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6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 xml:space="preserve">Hylarana </w:t>
            </w:r>
            <w:r>
              <w:rPr>
                <w:rFonts w:ascii="Times New Roman" w:cs="Times New Roman" w:eastAsia="Times New Roman" w:hAnsi="Times New Roman"/>
                <w:color w:val="000000"/>
              </w:rPr>
              <w:t>sp</w:t>
            </w:r>
            <w:r>
              <w:rPr>
                <w:rFonts w:ascii="Times New Roman" w:cs="Times New Roman" w:eastAsia="Times New Roman" w:hAnsi="Times New Roman"/>
                <w:i/>
                <w:iCs/>
                <w:color w:val="000000"/>
              </w:rPr>
              <w:t xml:space="preserve"> </w:t>
            </w:r>
            <w:r>
              <w:rPr>
                <w:rFonts w:ascii="Times New Roman" w:cs="Times New Roman" w:eastAsia="Times New Roman" w:hAnsi="Times New Roman"/>
                <w:i w:val="false"/>
                <w:iCs w:val="false"/>
                <w:color w:val="000000"/>
              </w:rPr>
              <w:t>Sumatra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MK 335</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Northern Sumatra Island, Langkat, Bandar Baru, Batak Mountains</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6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 xml:space="preserve">Hylarana centropeninsularis </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 xml:space="preserve">DWNP </w:t>
            </w:r>
            <w:r>
              <w:rPr>
                <w:rFonts w:ascii="Times New Roman" w:cs="Times New Roman" w:eastAsia="Times New Roman" w:hAnsi="Times New Roman"/>
                <w:color w:val="000000"/>
              </w:rPr>
              <w:t>1189</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Malaysia, Pahang, Kuala Gandah</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3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siberu</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BJE 203</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Siberut Island, West Sumatra Province</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3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siberu</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BJE 236</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Siberut Island, West Sumatra Province</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3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picturata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235707</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Malaysia, Sabah, Kota Marudu</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6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picturata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ZRC 1.10886</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Borneo Island, Sabah, Mt. Kinabalu (Neotype Locality)</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6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picturata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266930</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Sumatra Island, West Sumatra Province, Limau Manis</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6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picturata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266944</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Sumatra Island, West Sumatra Province,Payakumbuh</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6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signata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FMNH 238842</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Mendolong, Sipitang Dustrict, Sabah, Malaysia</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3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signata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ZRC 1.12388</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Borneo Island, Sarawak, Matang</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9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mangyanum</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KU 303566</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Mindoro Island, Municipality of Paypayama, Barangay Carmundo,</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9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mangyanum</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KU 303578</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Mindoro Island, Municipality of Bongabong, Barangay Formon,</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9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moellendorffi</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KU 309009</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Palawan Island,  Palawan Province, Municipality of Puerto Princesa City, Barangay Irawan</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9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moellendorffi</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KU 327050</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Palawan Island, Palwan Province, Municipality of Nara, Barangay Estrella Falls</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9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grandocula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KU 306492</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Samar Island, Samar Proviunce Province, Municipality of San Jose de Baun, Barangay Poblacion</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9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grandocula</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PNM 8848</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Mindanao Island, Davao City Province, Municipality of Calinan, Barangay Malagos</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900"/>
          <w:cantSplit w:val="false"/>
        </w:trPr>
        <w:tc>
          <w:tcPr>
            <w:tcW w:type="dxa" w:w="3087"/>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i/>
                <w:iCs/>
                <w:color w:val="000000"/>
              </w:rPr>
              <w:t>Hylarana similis</w:t>
            </w:r>
          </w:p>
        </w:tc>
        <w:tc>
          <w:tcPr>
            <w:tcW w:type="dxa" w:w="1075"/>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TNHC 63007</w:t>
            </w:r>
          </w:p>
        </w:tc>
        <w:tc>
          <w:tcPr>
            <w:tcW w:type="dxa" w:w="3464"/>
            <w:tcBorders>
              <w:top w:val="none"/>
              <w:left w:val="none"/>
              <w:bottom w:val="none"/>
              <w:right w:val="none"/>
            </w:tcBorders>
            <w:shd w:fill="FFFFFF" w:val="clear"/>
          </w:tcPr>
          <w:p>
            <w:pPr>
              <w:pStyle w:val="style0"/>
              <w:spacing w:line="480" w:lineRule="auto"/>
            </w:pPr>
            <w:r>
              <w:rPr>
                <w:rFonts w:ascii="Times New Roman" w:cs="Times New Roman" w:eastAsia="Times New Roman" w:hAnsi="Times New Roman"/>
                <w:color w:val="000000"/>
              </w:rPr>
              <w:t>Philippines, Luzon Island, Camarines Norte Province, Municipality of Naga City, Barangay Panicuason,</w:t>
            </w:r>
          </w:p>
        </w:tc>
        <w:tc>
          <w:tcPr>
            <w:tcW w:type="dxa" w:w="1349"/>
            <w:tcBorders>
              <w:top w:val="none"/>
              <w:left w:val="none"/>
              <w:bottom w:val="none"/>
              <w:right w:val="none"/>
            </w:tcBorders>
            <w:shd w:fill="FFFFFF" w:val="clear"/>
          </w:tcPr>
          <w:p>
            <w:pPr>
              <w:pStyle w:val="style0"/>
              <w:spacing w:line="480" w:lineRule="auto"/>
            </w:pPr>
            <w:r>
              <w:rPr>
                <w:rFonts w:ascii="Times New Roman" w:hAnsi="Times New Roman"/>
              </w:rPr>
            </w:r>
          </w:p>
        </w:tc>
      </w:tr>
      <w:tr>
        <w:trPr>
          <w:trHeight w:hRule="atLeast" w:val="1200"/>
          <w:cantSplit w:val="false"/>
        </w:trPr>
        <w:tc>
          <w:tcPr>
            <w:tcW w:type="dxa" w:w="3087"/>
            <w:tcBorders>
              <w:top w:val="non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i/>
                <w:iCs/>
                <w:color w:val="000000"/>
              </w:rPr>
              <w:t>Hylarana similis</w:t>
            </w:r>
          </w:p>
        </w:tc>
        <w:tc>
          <w:tcPr>
            <w:tcW w:type="dxa" w:w="1075"/>
            <w:tcBorders>
              <w:top w:val="non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color w:val="000000"/>
              </w:rPr>
              <w:t>PNM 5536</w:t>
            </w:r>
          </w:p>
        </w:tc>
        <w:tc>
          <w:tcPr>
            <w:tcW w:type="dxa" w:w="3464"/>
            <w:tcBorders>
              <w:top w:val="none"/>
              <w:left w:val="none"/>
              <w:bottom w:color="00000A" w:space="0" w:sz="4" w:val="single"/>
              <w:right w:val="none"/>
            </w:tcBorders>
            <w:shd w:fill="FFFFFF" w:val="clear"/>
          </w:tcPr>
          <w:p>
            <w:pPr>
              <w:pStyle w:val="style0"/>
              <w:spacing w:line="480" w:lineRule="auto"/>
            </w:pPr>
            <w:r>
              <w:rPr>
                <w:rFonts w:ascii="Times New Roman" w:cs="Times New Roman" w:eastAsia="Times New Roman" w:hAnsi="Times New Roman"/>
                <w:color w:val="000000"/>
              </w:rPr>
              <w:t>Philippines, Luzon Island, Laguna Province, Municipality of Los Baños, University, of the Philippines campus, Mt. Makiling</w:t>
            </w:r>
          </w:p>
        </w:tc>
        <w:tc>
          <w:tcPr>
            <w:tcW w:type="dxa" w:w="1349"/>
            <w:tcBorders>
              <w:top w:val="none"/>
              <w:left w:val="none"/>
              <w:bottom w:color="00000A" w:space="0" w:sz="4" w:val="single"/>
              <w:right w:val="none"/>
            </w:tcBorders>
            <w:shd w:fill="FFFFFF" w:val="clear"/>
          </w:tcPr>
          <w:p>
            <w:pPr>
              <w:pStyle w:val="style0"/>
              <w:spacing w:line="480" w:lineRule="auto"/>
            </w:pPr>
            <w:r>
              <w:rPr>
                <w:rFonts w:ascii="Times New Roman" w:hAnsi="Times New Roman"/>
              </w:rPr>
            </w:r>
          </w:p>
        </w:tc>
      </w:tr>
    </w:tbl>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cs="Times New Roman" w:hAnsi="Times New Roman"/>
          <w:smallCaps/>
        </w:rPr>
        <w:t>Fig.</w:t>
      </w:r>
      <w:r>
        <w:rPr>
          <w:rFonts w:ascii="Times New Roman" w:cs="Times New Roman" w:hAnsi="Times New Roman"/>
        </w:rPr>
        <w:t xml:space="preserve"> 1.</w:t>
      </w:r>
      <w:r>
        <w:rPr>
          <w:rFonts w:ascii="Times New Roman" w:cs="Times New Roman" w:hAnsi="Times New Roman"/>
          <w:bCs/>
        </w:rPr>
        <w:t xml:space="preserve">—Maximum likelihood (ML) tree from RAxML analysis of </w:t>
      </w:r>
      <w:r>
        <w:rPr>
          <w:rFonts w:ascii="Times New Roman" w:cs="Times New Roman" w:hAnsi="Times New Roman"/>
        </w:rPr>
        <w:t>12S–16S rRNA (and part of one flanking transfer RNA genes (tRNA</w:t>
      </w:r>
      <w:r>
        <w:rPr>
          <w:rFonts w:ascii="Times New Roman" w:cs="Times New Roman" w:hAnsi="Times New Roman"/>
          <w:vertAlign w:val="superscript"/>
        </w:rPr>
        <w:t>val</w:t>
      </w:r>
      <w:r>
        <w:rPr>
          <w:rFonts w:ascii="Times New Roman" w:cs="Times New Roman" w:hAnsi="Times New Roman"/>
        </w:rPr>
        <w:t xml:space="preserve">) gene. Numbers above branches represent bootstrap support for ML/Bayesian posterior probabilities. Distribution ranges of species groups are color coded to correspond to the distribution map. </w:t>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cs="Times New Roman" w:hAnsi="Times New Roman"/>
        </w:rPr>
        <w:t xml:space="preserve"> </w:t>
      </w:r>
    </w:p>
    <w:p>
      <w:pPr>
        <w:pStyle w:val="style0"/>
        <w:spacing w:line="480" w:lineRule="auto"/>
        <w:ind w:firstLine="720" w:left="0" w:right="0"/>
      </w:pPr>
      <w:r>
        <w:rPr>
          <w:rFonts w:ascii="Times New Roman" w:cs="Times New Roman" w:hAnsi="Times New Roman"/>
          <w:smallCaps/>
        </w:rPr>
        <w:t>Fig.</w:t>
      </w:r>
      <w:r>
        <w:rPr>
          <w:rFonts w:ascii="Times New Roman" w:cs="Times New Roman" w:hAnsi="Times New Roman"/>
        </w:rPr>
        <w:t xml:space="preserve"> 2.</w:t>
      </w:r>
      <w:r>
        <w:rPr>
          <w:rFonts w:ascii="Times New Roman" w:cs="Times New Roman" w:hAnsi="Times New Roman"/>
          <w:bCs/>
        </w:rPr>
        <w:t>—The holotype, showing A: Palmar view of manus; B: Plantar view of pes; C: Dorsum; D: Ventrum. Note greatly enlarged humeral gland (A, C) and reduced webbing of pes (B).</w:t>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cs="Times New Roman" w:hAnsi="Times New Roman"/>
          <w:smallCaps/>
        </w:rPr>
        <w:t>Fig.</w:t>
      </w:r>
      <w:r>
        <w:rPr>
          <w:rFonts w:ascii="Times New Roman" w:cs="Times New Roman" w:hAnsi="Times New Roman"/>
        </w:rPr>
        <w:t xml:space="preserve"> 3.</w:t>
      </w:r>
      <w:r>
        <w:rPr>
          <w:rFonts w:ascii="Times New Roman" w:cs="Times New Roman" w:hAnsi="Times New Roman"/>
          <w:bCs/>
        </w:rPr>
        <w:t>—</w:t>
      </w:r>
      <w:r>
        <w:rPr>
          <w:rFonts w:ascii="Times New Roman" w:cs="Times New Roman" w:hAnsi="Times New Roman"/>
          <w:b w:val="false"/>
          <w:bCs w:val="false"/>
        </w:rPr>
        <w:t>A:</w:t>
      </w:r>
      <w:r>
        <w:rPr>
          <w:rFonts w:ascii="Times New Roman" w:cs="Times New Roman" w:hAnsi="Times New Roman"/>
          <w:b/>
          <w:bCs/>
        </w:rPr>
        <w:t xml:space="preserve"> </w:t>
      </w:r>
      <w:r>
        <w:rPr>
          <w:rFonts w:ascii="Times New Roman" w:cs="Times New Roman" w:hAnsi="Times New Roman"/>
          <w:bCs/>
        </w:rPr>
        <w:t xml:space="preserve">Paratype of </w:t>
      </w:r>
      <w:r>
        <w:rPr>
          <w:rFonts w:ascii="Times New Roman" w:cs="Times New Roman" w:hAnsi="Times New Roman"/>
          <w:bCs/>
          <w:i/>
        </w:rPr>
        <w:t>Hylarana centropeninsularis</w:t>
      </w:r>
      <w:r>
        <w:rPr>
          <w:rFonts w:ascii="Times New Roman" w:cs="Times New Roman" w:hAnsi="Times New Roman"/>
          <w:bCs/>
        </w:rPr>
        <w:t xml:space="preserve">; B: </w:t>
      </w:r>
      <w:r>
        <w:rPr>
          <w:rFonts w:ascii="Times New Roman" w:cs="Times New Roman" w:hAnsi="Times New Roman"/>
          <w:b w:val="false"/>
          <w:bCs w:val="false"/>
          <w:i/>
        </w:rPr>
        <w:t>Hylarana siberu</w:t>
      </w:r>
      <w:r>
        <w:rPr>
          <w:rFonts w:ascii="Times New Roman" w:cs="Times New Roman" w:hAnsi="Times New Roman"/>
          <w:b/>
          <w:bCs/>
        </w:rPr>
        <w:t xml:space="preserve"> </w:t>
      </w:r>
      <w:r>
        <w:rPr>
          <w:rFonts w:ascii="Times New Roman" w:cs="Times New Roman" w:hAnsi="Times New Roman"/>
          <w:bCs/>
        </w:rPr>
        <w:t xml:space="preserve">from Siberut Island, Sumatra (photo: J. A. McGuire); C: </w:t>
      </w:r>
      <w:r>
        <w:rPr>
          <w:rFonts w:ascii="Times New Roman" w:cs="Times New Roman" w:hAnsi="Times New Roman"/>
          <w:bCs/>
          <w:i/>
        </w:rPr>
        <w:t>Hylarana</w:t>
      </w:r>
      <w:r>
        <w:rPr>
          <w:rFonts w:ascii="Times New Roman" w:cs="Times New Roman" w:hAnsi="Times New Roman"/>
          <w:bCs/>
        </w:rPr>
        <w:t xml:space="preserve"> sp Sumatra from northern Sumatra (photo: D. Iskandar); D: </w:t>
      </w:r>
      <w:r>
        <w:rPr>
          <w:rFonts w:ascii="Times New Roman" w:cs="Times New Roman" w:hAnsi="Times New Roman"/>
          <w:bCs/>
          <w:i/>
        </w:rPr>
        <w:t>Hylarana</w:t>
      </w:r>
      <w:r>
        <w:rPr>
          <w:rFonts w:ascii="Times New Roman" w:cs="Times New Roman" w:hAnsi="Times New Roman"/>
          <w:bCs/>
        </w:rPr>
        <w:t xml:space="preserve"> (=</w:t>
      </w:r>
      <w:r>
        <w:rPr>
          <w:rFonts w:ascii="Times New Roman" w:cs="Times New Roman" w:hAnsi="Times New Roman"/>
          <w:bCs/>
          <w:i/>
        </w:rPr>
        <w:t>Rana</w:t>
      </w:r>
      <w:r>
        <w:rPr>
          <w:rFonts w:ascii="Times New Roman" w:cs="Times New Roman" w:hAnsi="Times New Roman"/>
          <w:bCs/>
        </w:rPr>
        <w:t xml:space="preserve">) </w:t>
      </w:r>
      <w:r>
        <w:rPr>
          <w:rFonts w:ascii="Times New Roman" w:cs="Times New Roman" w:hAnsi="Times New Roman"/>
          <w:bCs/>
          <w:i/>
        </w:rPr>
        <w:t>debussyi</w:t>
      </w:r>
      <w:r>
        <w:rPr>
          <w:rFonts w:ascii="Times New Roman" w:cs="Times New Roman" w:hAnsi="Times New Roman"/>
          <w:bCs/>
        </w:rPr>
        <w:t xml:space="preserve"> taken</w:t>
      </w:r>
      <w:r>
        <w:rPr>
          <w:rFonts w:ascii="Times New Roman" w:cs="Times New Roman" w:hAnsi="Times New Roman"/>
          <w:bCs/>
          <w:i/>
        </w:rPr>
        <w:t xml:space="preserve"> </w:t>
      </w:r>
      <w:r>
        <w:rPr>
          <w:rFonts w:ascii="Times New Roman" w:cs="Times New Roman" w:hAnsi="Times New Roman"/>
          <w:bCs/>
        </w:rPr>
        <w:t>from van Kampen (1910, p. 23, pl. I, Fig. 3).</w:t>
      </w:r>
    </w:p>
    <w:p>
      <w:pPr>
        <w:pStyle w:val="style0"/>
        <w:spacing w:line="480" w:lineRule="auto"/>
        <w:ind w:firstLine="720" w:left="0" w:right="0"/>
      </w:pPr>
      <w:r>
        <w:rPr>
          <w:rFonts w:ascii="Times New Roman" w:hAnsi="Times New Roman"/>
        </w:rPr>
      </w:r>
    </w:p>
    <w:p>
      <w:pPr>
        <w:pStyle w:val="style0"/>
        <w:spacing w:line="480" w:lineRule="auto"/>
        <w:ind w:firstLine="720" w:left="0" w:right="0"/>
      </w:pPr>
      <w:r>
        <w:rPr>
          <w:rFonts w:ascii="Times New Roman" w:hAnsi="Times New Roman"/>
        </w:rPr>
      </w:r>
    </w:p>
    <w:sectPr>
      <w:headerReference r:id="rId2" w:type="default"/>
      <w:footnotePr>
        <w:numFmt w:val="decimal"/>
        <w:numStart w:val="5"/>
      </w:footnotePr>
      <w:type w:val="nextPage"/>
      <w:pgSz w:h="15840" w:w="12240"/>
      <w:pgMar w:bottom="1440" w:footer="0" w:gutter="0" w:header="720" w:left="1800" w:right="1800" w:top="1440"/>
      <w:lnNumType w:countBy="1" w:distance="283" w:restart="continuous"/>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 w:name="Lucida Grande">
    <w:charset w:val="80"/>
    <w:family w:val="roman"/>
    <w:pitch w:val="variable"/>
  </w:font>
  <w:font w:name="Arial">
    <w:charset w:val="80"/>
    <w:family w:val="swiss"/>
    <w:pitch w:val="variable"/>
  </w:font>
</w:fonts>
</file>

<file path=word/footnotes.xml><?xml version="1.0" encoding="utf-8"?>
<w:footnotes xmlns:r="http://schemas.openxmlformats.org/officeDocument/2006/relationships" xmlns:w="http://schemas.openxmlformats.org/wordprocessingml/2006/main">
  <w:footnote w:id="0" w:type="separator">
    <w:p>
      <w:r>
        <w:separator/>
      </w:r>
    </w:p>
  </w:footnote>
  <w:footnote w:id="1" w:type="continuationSeparator">
    <w:p>
      <w:r>
        <w:continuationSeparator/>
      </w:r>
    </w:p>
  </w:footnote>
  <w:footnote w:id="2">
    <w:p>
      <w:pPr>
        <w:pStyle w:val="style0"/>
        <w:spacing w:line="480" w:lineRule="auto"/>
        <w:ind w:firstLine="720" w:left="0" w:right="0"/>
      </w:pPr>
      <w:r>
        <w:rPr>
          <w:rStyle w:val="style28"/>
        </w:rPr>
        <w:footnoteRef/>
        <w:tab/>
      </w:r>
      <w:r>
        <w:rPr>
          <w:rStyle w:val="style28"/>
        </w:rPr>
        <w:tab/>
        <w:tab/>
        <w:t>6</w:t>
      </w:r>
      <w:r>
        <w:rPr/>
        <w:t xml:space="preserve"> </w:t>
      </w:r>
      <w:r>
        <w:rPr>
          <w:rFonts w:ascii="Times New Roman" w:cs="Times New Roman" w:hAnsi="Times New Roman"/>
          <w:smallCaps/>
        </w:rPr>
        <w:t>Correspondence</w:t>
      </w:r>
      <w:r>
        <w:rPr>
          <w:rFonts w:ascii="Times New Roman" w:cs="Times New Roman" w:hAnsi="Times New Roman"/>
          <w:iCs/>
        </w:rPr>
        <w:t>: e-mail, kin_onn@yahoo.com</w:t>
      </w:r>
    </w:p>
    <w:p>
      <w:pPr>
        <w:pStyle w:val="style44"/>
      </w:pPr>
      <w:r>
        <w:rP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42"/>
      <w:ind w:hanging="0" w:left="0" w:right="360"/>
    </w:pPr>
    <w:r>
      <w:rPr/>
      <w:t>[Type text]</w:t>
      <w:tab/>
      <w:t>[Type text]</w:t>
      <w:tab/>
      <w:t>[Type text]</w:t>
    </w:r>
  </w:p>
  <w:p>
    <w:pPr>
      <w:pStyle w:val="style0"/>
    </w:pPr>
    <w:r>
      <w:rPr/>
      <w:fldChar w:fldCharType="begin"/>
    </w:r>
    <w:r>
      <w:instrText> PAGE </w:instrText>
    </w:r>
    <w:r>
      <w:fldChar w:fldCharType="separate"/>
    </w:r>
    <w:r>
      <w:t>22</w:t>
    </w:r>
    <w:r>
      <w:fldChar w:fldCharType="end"/>
    </w:r>
  </w:p>
  <w:p>
    <w:pPr>
      <w:pStyle w:val="style42"/>
      <w:ind w:hanging="0" w:left="0" w:right="360"/>
    </w:pPr>
    <w:r>
      <w:rPr/>
      <w:tab/>
      <w:tab/>
      <w:t xml:space="preserve">Chan et al. </w:t>
    </w:r>
  </w:p>
  <w:p>
    <w:pPr>
      <w:pStyle w:val="style0"/>
    </w:pPr>
    <w:r>
      <w:rPr/>
      <w:fldChar w:fldCharType="begin"/>
    </w:r>
    <w:r>
      <w:instrText> PAGE </w:instrText>
    </w:r>
    <w:r>
      <w:fldChar w:fldCharType="separate"/>
    </w:r>
    <w:r>
      <w:t>22</w:t>
    </w:r>
    <w:r>
      <w:fldChar w:fldCharType="end"/>
    </w:r>
  </w:p>
  <w:p>
    <w:pPr>
      <w:pStyle w:val="style42"/>
      <w:ind w:hanging="0" w:left="0" w:right="360"/>
    </w:pPr>
    <w:r>
      <w:rPr/>
    </w:r>
  </w:p>
</w:hdr>
</file>

<file path=word/settings.xml><?xml version="1.0" encoding="utf-8"?>
<w:settings xmlns:w="http://schemas.openxmlformats.org/wordprocessingml/2006/main">
  <w:zoom w:percent="120"/>
  <w:defaultTabStop w:val="720"/>
  <w:footnotePr>
    <w:numFmt w:val="decimal"/>
    <w:numStart w:val="5"/>
    <w:footnote w:id="0"/>
    <w:footnote w:id="1"/>
  </w:footnotePr>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mbria" w:cs="" w:eastAsia="DejaVu Sans" w:hAnsi="Cambria"/>
      <w:color w:val="00000A"/>
      <w:sz w:val="24"/>
      <w:szCs w:val="24"/>
      <w:lang w:bidi="ar-SA" w:eastAsia="en-US" w:val="en-US"/>
    </w:rPr>
  </w:style>
  <w:style w:styleId="style15" w:type="character">
    <w:name w:val="Default Paragraph Font"/>
    <w:next w:val="style15"/>
    <w:rPr/>
  </w:style>
  <w:style w:styleId="style16" w:type="character">
    <w:name w:val="Balloon Text Char"/>
    <w:basedOn w:val="style15"/>
    <w:next w:val="style16"/>
    <w:rPr>
      <w:rFonts w:ascii="Lucida Grande" w:cs="Lucida Grande" w:hAnsi="Lucida Grande"/>
      <w:sz w:val="18"/>
      <w:szCs w:val="18"/>
    </w:rPr>
  </w:style>
  <w:style w:styleId="style17" w:type="character">
    <w:name w:val="apple-style-span"/>
    <w:basedOn w:val="style15"/>
    <w:next w:val="style17"/>
    <w:rPr>
      <w:rFonts w:cs="Times New Roman"/>
    </w:rPr>
  </w:style>
  <w:style w:styleId="style18" w:type="character">
    <w:name w:val="apple-converted-space"/>
    <w:basedOn w:val="style15"/>
    <w:next w:val="style18"/>
    <w:rPr>
      <w:rFonts w:cs="Times New Roman"/>
    </w:rPr>
  </w:style>
  <w:style w:styleId="style19" w:type="character">
    <w:name w:val="annotation reference"/>
    <w:basedOn w:val="style15"/>
    <w:next w:val="style19"/>
    <w:rPr>
      <w:sz w:val="18"/>
      <w:szCs w:val="18"/>
    </w:rPr>
  </w:style>
  <w:style w:styleId="style20" w:type="character">
    <w:name w:val="Comment Text Char"/>
    <w:basedOn w:val="style15"/>
    <w:next w:val="style20"/>
    <w:rPr/>
  </w:style>
  <w:style w:styleId="style21" w:type="character">
    <w:name w:val="Comment Subject Char"/>
    <w:basedOn w:val="style20"/>
    <w:next w:val="style21"/>
    <w:rPr>
      <w:b/>
      <w:bCs/>
      <w:sz w:val="20"/>
      <w:szCs w:val="20"/>
    </w:rPr>
  </w:style>
  <w:style w:styleId="style22" w:type="character">
    <w:name w:val="Body Text Char"/>
    <w:basedOn w:val="style15"/>
    <w:next w:val="style22"/>
    <w:rPr>
      <w:rFonts w:ascii="Times New Roman" w:cs="Times New Roman" w:eastAsia="Times New Roman" w:hAnsi="Times New Roman"/>
      <w:sz w:val="20"/>
      <w:szCs w:val="20"/>
    </w:rPr>
  </w:style>
  <w:style w:styleId="style23" w:type="character">
    <w:name w:val="line number"/>
    <w:basedOn w:val="style15"/>
    <w:next w:val="style23"/>
    <w:rPr/>
  </w:style>
  <w:style w:styleId="style24" w:type="character">
    <w:name w:val="Header Char"/>
    <w:basedOn w:val="style15"/>
    <w:next w:val="style24"/>
    <w:rPr/>
  </w:style>
  <w:style w:styleId="style25" w:type="character">
    <w:name w:val="page number"/>
    <w:basedOn w:val="style15"/>
    <w:next w:val="style25"/>
    <w:rPr/>
  </w:style>
  <w:style w:styleId="style26" w:type="character">
    <w:name w:val="Footer Char"/>
    <w:basedOn w:val="style15"/>
    <w:next w:val="style26"/>
    <w:rPr/>
  </w:style>
  <w:style w:styleId="style27" w:type="character">
    <w:name w:val="Footnote Text Char"/>
    <w:basedOn w:val="style15"/>
    <w:next w:val="style27"/>
    <w:rPr/>
  </w:style>
  <w:style w:styleId="style28" w:type="character">
    <w:name w:val="footnote reference"/>
    <w:basedOn w:val="style15"/>
    <w:next w:val="style28"/>
    <w:rPr>
      <w:vertAlign w:val="superscript"/>
    </w:rPr>
  </w:style>
  <w:style w:styleId="style29" w:type="character">
    <w:name w:val="Footnote Anchor"/>
    <w:next w:val="style29"/>
    <w:rPr>
      <w:vertAlign w:val="superscript"/>
    </w:rPr>
  </w:style>
  <w:style w:styleId="style30" w:type="character">
    <w:name w:val="Endnote Anchor"/>
    <w:next w:val="style30"/>
    <w:rPr>
      <w:vertAlign w:val="superscript"/>
    </w:rPr>
  </w:style>
  <w:style w:styleId="style31" w:type="character">
    <w:name w:val="Footnote Characters"/>
    <w:next w:val="style31"/>
    <w:rPr/>
  </w:style>
  <w:style w:styleId="style32" w:type="character">
    <w:name w:val="Line Numbering"/>
    <w:next w:val="style32"/>
    <w:rPr/>
  </w:style>
  <w:style w:styleId="style33" w:type="character">
    <w:name w:val="Endnote Characters"/>
    <w:next w:val="style33"/>
    <w:rPr/>
  </w:style>
  <w:style w:styleId="style34" w:type="paragraph">
    <w:name w:val="Heading"/>
    <w:basedOn w:val="style0"/>
    <w:next w:val="style35"/>
    <w:pPr>
      <w:keepNext/>
      <w:spacing w:after="120" w:before="240"/>
      <w:contextualSpacing w:val="false"/>
    </w:pPr>
    <w:rPr>
      <w:rFonts w:ascii="Arial" w:cs="Lohit Hindi" w:eastAsia="DejaVu Sans" w:hAnsi="Arial"/>
      <w:sz w:val="28"/>
      <w:szCs w:val="28"/>
    </w:rPr>
  </w:style>
  <w:style w:styleId="style35" w:type="paragraph">
    <w:name w:val="Text Body"/>
    <w:basedOn w:val="style0"/>
    <w:next w:val="style35"/>
    <w:pPr>
      <w:widowControl w:val="false"/>
      <w:spacing w:after="120" w:before="0" w:line="480" w:lineRule="atLeast"/>
      <w:contextualSpacing w:val="false"/>
    </w:pPr>
    <w:rPr>
      <w:rFonts w:ascii="Times New Roman" w:cs="Times New Roman" w:eastAsia="Times New Roman" w:hAnsi="Times New Roman"/>
      <w:sz w:val="20"/>
      <w:szCs w:val="20"/>
    </w:rPr>
  </w:style>
  <w:style w:styleId="style36" w:type="paragraph">
    <w:name w:val="List"/>
    <w:basedOn w:val="style35"/>
    <w:next w:val="style36"/>
    <w:pPr/>
    <w:rPr>
      <w:rFonts w:cs="Lohit Hindi"/>
    </w:rPr>
  </w:style>
  <w:style w:styleId="style37" w:type="paragraph">
    <w:name w:val="Caption"/>
    <w:basedOn w:val="style0"/>
    <w:next w:val="style37"/>
    <w:pPr>
      <w:suppressLineNumbers/>
      <w:spacing w:after="120" w:before="120"/>
      <w:contextualSpacing w:val="false"/>
    </w:pPr>
    <w:rPr>
      <w:rFonts w:cs="Lohit Hindi"/>
      <w:i/>
      <w:iCs/>
      <w:sz w:val="24"/>
      <w:szCs w:val="24"/>
    </w:rPr>
  </w:style>
  <w:style w:styleId="style38" w:type="paragraph">
    <w:name w:val="Index"/>
    <w:basedOn w:val="style0"/>
    <w:next w:val="style38"/>
    <w:pPr>
      <w:suppressLineNumbers/>
    </w:pPr>
    <w:rPr>
      <w:rFonts w:cs="Lohit Hindi"/>
    </w:rPr>
  </w:style>
  <w:style w:styleId="style39" w:type="paragraph">
    <w:name w:val="Balloon Text"/>
    <w:basedOn w:val="style0"/>
    <w:next w:val="style39"/>
    <w:pPr/>
    <w:rPr>
      <w:rFonts w:ascii="Lucida Grande" w:cs="Lucida Grande" w:hAnsi="Lucida Grande"/>
      <w:sz w:val="18"/>
      <w:szCs w:val="18"/>
    </w:rPr>
  </w:style>
  <w:style w:styleId="style40" w:type="paragraph">
    <w:name w:val="annotation text"/>
    <w:basedOn w:val="style0"/>
    <w:next w:val="style40"/>
    <w:pPr/>
    <w:rPr/>
  </w:style>
  <w:style w:styleId="style41" w:type="paragraph">
    <w:name w:val="annotation subject"/>
    <w:basedOn w:val="style40"/>
    <w:next w:val="style41"/>
    <w:pPr/>
    <w:rPr>
      <w:b/>
      <w:bCs/>
      <w:sz w:val="20"/>
      <w:szCs w:val="20"/>
    </w:rPr>
  </w:style>
  <w:style w:styleId="style42" w:type="paragraph">
    <w:name w:val="Header"/>
    <w:basedOn w:val="style0"/>
    <w:next w:val="style42"/>
    <w:pPr>
      <w:tabs>
        <w:tab w:leader="none" w:pos="4320" w:val="center"/>
        <w:tab w:leader="none" w:pos="8640" w:val="right"/>
      </w:tabs>
    </w:pPr>
    <w:rPr/>
  </w:style>
  <w:style w:styleId="style43" w:type="paragraph">
    <w:name w:val="Footer"/>
    <w:basedOn w:val="style0"/>
    <w:next w:val="style43"/>
    <w:pPr>
      <w:tabs>
        <w:tab w:leader="none" w:pos="4320" w:val="center"/>
        <w:tab w:leader="none" w:pos="8640" w:val="right"/>
      </w:tabs>
    </w:pPr>
    <w:rPr/>
  </w:style>
  <w:style w:styleId="style44" w:type="paragraph">
    <w:name w:val="footnote text"/>
    <w:basedOn w:val="style0"/>
    <w:next w:val="style44"/>
    <w:pPr/>
    <w:rPr/>
  </w:style>
  <w:style w:styleId="style45" w:type="paragraph">
    <w:name w:val="Footnote"/>
    <w:basedOn w:val="style0"/>
    <w:next w:val="style45"/>
    <w:pPr/>
    <w:rPr/>
  </w:style>
  <w:style w:styleId="style46" w:type="paragraph">
    <w:name w:val="Frame Contents"/>
    <w:basedOn w:val="style35"/>
    <w:next w:val="style4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79</TotalTime>
  <Application>LibreOffice/4.0.2.2$Linux_X86_64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2013-06-11T19:17:00.00Z</dcterms:created>
  <dc:creator>Kin Onn Chan.</dc:creator>
  <cp:lastModifiedBy>rafe brown</cp:lastModifiedBy>
  <cp:lastPrinted>2013-06-11T18:26:00.00Z</cp:lastPrinted>
  <dcterms:modified xsi:type="dcterms:W3CDTF">2013-06-13T15:45:00.00Z</dcterms:modified>
  <cp:revision>39</cp:revision>
</cp:coreProperties>
</file>