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524BD78A"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Rafe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26AD31C0"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 xml:space="preserve">flanks, dorsal surfaces of limbs, and upper lip </w:t>
      </w:r>
      <w:r w:rsidR="009903D7">
        <w:rPr>
          <w:rFonts w:ascii="Times New Roman" w:hAnsi="Times New Roman" w:cs="Times New Roman"/>
          <w:bCs/>
        </w:rPr>
        <w:t xml:space="preserve">with </w:t>
      </w:r>
      <w:r w:rsidR="00F5381C" w:rsidRPr="009B159C">
        <w:rPr>
          <w:rFonts w:ascii="Times New Roman" w:hAnsi="Times New Roman" w:cs="Times New Roman"/>
          <w:bCs/>
        </w:rPr>
        <w:t>large, round, yellow</w:t>
      </w:r>
      <w:r w:rsidR="009903D7">
        <w:rPr>
          <w:rFonts w:ascii="Times New Roman" w:hAnsi="Times New Roman" w:cs="Times New Roman"/>
          <w:bCs/>
        </w:rPr>
        <w:t xml:space="preserve"> spots</w:t>
      </w:r>
      <w:r w:rsidR="00F5381C" w:rsidRPr="009B159C">
        <w:rPr>
          <w:rFonts w:ascii="Times New Roman" w:hAnsi="Times New Roman" w:cs="Times New Roman"/>
          <w:bCs/>
        </w:rPr>
        <w:t>;</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Guttman,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Guttman,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3AE136A9"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xml:space="preserve">, </w:t>
      </w:r>
      <w:r w:rsidR="009903D7">
        <w:rPr>
          <w:rFonts w:ascii="Times New Roman" w:hAnsi="Times New Roman" w:cs="Times New Roman"/>
        </w:rPr>
        <w:t xml:space="preserve">approximately </w:t>
      </w:r>
      <w:r w:rsidR="000872F6" w:rsidRPr="009B159C">
        <w:rPr>
          <w:rFonts w:ascii="Times New Roman" w:hAnsi="Times New Roman" w:cs="Times New Roman"/>
        </w:rPr>
        <w:t>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9903D7">
        <w:rPr>
          <w:rFonts w:ascii="Times New Roman" w:hAnsi="Times New Roman" w:cs="Times New Roman"/>
        </w:rPr>
        <w:t>that</w:t>
      </w:r>
      <w:r w:rsidR="00CD430D" w:rsidRPr="009B159C">
        <w:rPr>
          <w:rFonts w:ascii="Times New Roman" w:hAnsi="Times New Roman" w:cs="Times New Roman"/>
        </w:rPr>
        <w:t xml:space="preserve">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5432C3C5"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spellStart"/>
      <w:proofErr w:type="gramEnd"/>
      <w:r w:rsidR="00716C13">
        <w:rPr>
          <w:rFonts w:ascii="Times New Roman" w:hAnsi="Times New Roman" w:cs="Times New Roman"/>
          <w:bCs/>
          <w:i/>
        </w:rPr>
        <w:t>Hylarana</w:t>
      </w:r>
      <w:proofErr w:type="spellEnd"/>
      <w:r w:rsidR="00DA7C18" w:rsidRPr="009B159C">
        <w:rPr>
          <w:rFonts w:ascii="Times New Roman" w:hAnsi="Times New Roman" w:cs="Times New Roman"/>
          <w:bCs/>
          <w:i/>
        </w:rPr>
        <w:t xml:space="preserve">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Guttman,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00716C13">
        <w:rPr>
          <w:rFonts w:ascii="Times New Roman" w:hAnsi="Times New Roman" w:cs="Times New Roman"/>
          <w:bCs/>
        </w:rPr>
        <w:t xml:space="preserve">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and an </w:t>
      </w:r>
      <w:proofErr w:type="spellStart"/>
      <w:r w:rsidRPr="009B159C">
        <w:rPr>
          <w:rFonts w:ascii="Times New Roman" w:hAnsi="Times New Roman" w:cs="Times New Roman"/>
          <w:bCs/>
        </w:rPr>
        <w:lastRenderedPageBreak/>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Guttman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381E8238"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w:t>
      </w:r>
      <w:r w:rsidR="005E19E8">
        <w:rPr>
          <w:rFonts w:ascii="Times New Roman" w:hAnsi="Times New Roman" w:cs="Times New Roman"/>
        </w:rPr>
        <w:t xml:space="preserve">codes part of the 12S–16S </w:t>
      </w:r>
      <w:proofErr w:type="spellStart"/>
      <w:r w:rsidR="005E19E8">
        <w:rPr>
          <w:rFonts w:ascii="Times New Roman" w:hAnsi="Times New Roman" w:cs="Times New Roman"/>
        </w:rPr>
        <w:t>rRNA</w:t>
      </w:r>
      <w:proofErr w:type="spellEnd"/>
      <w:r w:rsidR="005E19E8">
        <w:rPr>
          <w:rFonts w:ascii="Times New Roman" w:hAnsi="Times New Roman" w:cs="Times New Roman"/>
        </w:rPr>
        <w:t xml:space="preserve"> </w:t>
      </w:r>
      <w:r w:rsidRPr="009B159C">
        <w:rPr>
          <w:rFonts w:ascii="Times New Roman" w:hAnsi="Times New Roman" w:cs="Times New Roman"/>
        </w:rPr>
        <w:t xml:space="preserve">and part of one flanking </w:t>
      </w:r>
      <w:proofErr w:type="spellStart"/>
      <w:r w:rsidR="005E19E8">
        <w:rPr>
          <w:rFonts w:ascii="Times New Roman" w:hAnsi="Times New Roman" w:cs="Times New Roman"/>
        </w:rPr>
        <w:t>tRNA</w:t>
      </w:r>
      <w:proofErr w:type="spellEnd"/>
      <w:r w:rsidR="005E19E8">
        <w:rPr>
          <w:rFonts w:ascii="Times New Roman" w:hAnsi="Times New Roman" w:cs="Times New Roman"/>
        </w:rPr>
        <w:t xml:space="preserve"> gene</w:t>
      </w:r>
      <w:r w:rsidRPr="009B159C">
        <w:rPr>
          <w:rFonts w:ascii="Times New Roman" w:hAnsi="Times New Roman" w:cs="Times New Roman"/>
        </w:rPr>
        <w:t xml:space="preserve">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22CF2106"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w:t>
      </w:r>
      <w:r w:rsidR="005E19E8">
        <w:rPr>
          <w:sz w:val="24"/>
          <w:szCs w:val="24"/>
        </w:rPr>
        <w:t>1.1; Posada and Crandall, 2008)</w:t>
      </w:r>
      <w:r w:rsidRPr="009B159C">
        <w:rPr>
          <w:sz w:val="24"/>
          <w:szCs w:val="24"/>
        </w:rPr>
        <w:t xml:space="preserve">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005E19E8" w:rsidRPr="005E19E8">
        <w:rPr>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w:t>
      </w:r>
      <w:r w:rsidR="00C147DA">
        <w:rPr>
          <w:sz w:val="24"/>
          <w:szCs w:val="24"/>
        </w:rPr>
        <w:t>T</w:t>
      </w:r>
      <w:r w:rsidR="005B388D" w:rsidRPr="009B159C">
        <w:rPr>
          <w:sz w:val="24"/>
          <w:szCs w:val="24"/>
        </w:rPr>
        <w: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00C147DA">
        <w:rPr>
          <w:sz w:val="24"/>
          <w:szCs w:val="24"/>
        </w:rPr>
        <w:t xml:space="preserve">was used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58099D6" w:rsidR="00E93BEF" w:rsidRPr="009B159C" w:rsidRDefault="00143DFB" w:rsidP="00674FB2">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The next diverging lineage</w:t>
      </w:r>
      <w:r w:rsidR="004F5ECF">
        <w:rPr>
          <w:rFonts w:ascii="Times New Roman" w:hAnsi="Times New Roman" w:cs="Times New Roman"/>
        </w:rPr>
        <w:t>s consisted</w:t>
      </w:r>
      <w:r w:rsidRPr="009B159C">
        <w:rPr>
          <w:rFonts w:ascii="Times New Roman" w:hAnsi="Times New Roman" w:cs="Times New Roman"/>
        </w:rPr>
        <w:t xml:space="preserve">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w:t>
      </w:r>
      <w:r w:rsidRPr="009B159C">
        <w:rPr>
          <w:rFonts w:ascii="Times New Roman" w:hAnsi="Times New Roman" w:cs="Times New Roman"/>
        </w:rPr>
        <w:lastRenderedPageBreak/>
        <w:t xml:space="preserve">population is 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11264BA7"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r w:rsidR="00235B00">
        <w:rPr>
          <w:rFonts w:ascii="Times New Roman" w:hAnsi="Times New Roman" w:cs="Times New Roman"/>
        </w:rPr>
        <w:t>Although we do not use molecular divergence to diagnose the new taxon, we note that these levels of divergence</w:t>
      </w:r>
      <w:r w:rsidR="004F5ECF">
        <w:rPr>
          <w:rFonts w:ascii="Times New Roman" w:hAnsi="Times New Roman" w:cs="Times New Roman"/>
        </w:rPr>
        <w:t>s</w:t>
      </w:r>
      <w:r w:rsidR="00235B00">
        <w:rPr>
          <w:rFonts w:ascii="Times New Roman" w:hAnsi="Times New Roman" w:cs="Times New Roman"/>
        </w:rPr>
        <w:t xml:space="preserve"> are equivalent </w:t>
      </w:r>
      <w:r w:rsidR="00B4478E">
        <w:rPr>
          <w:rFonts w:ascii="Times New Roman" w:hAnsi="Times New Roman" w:cs="Times New Roman"/>
        </w:rPr>
        <w:t>or greater than</w:t>
      </w:r>
      <w:r w:rsidR="00235B00">
        <w:rPr>
          <w:rFonts w:ascii="Times New Roman" w:hAnsi="Times New Roman" w:cs="Times New Roman"/>
        </w:rPr>
        <w:t xml:space="preserve"> most species level divergences in closely related </w:t>
      </w:r>
      <w:r w:rsidR="00235B00">
        <w:rPr>
          <w:rFonts w:ascii="Times New Roman" w:hAnsi="Times New Roman" w:cs="Times New Roman"/>
          <w:i/>
        </w:rPr>
        <w:t xml:space="preserve">H. </w:t>
      </w:r>
      <w:proofErr w:type="spellStart"/>
      <w:r w:rsidR="00235B00">
        <w:rPr>
          <w:rFonts w:ascii="Times New Roman" w:hAnsi="Times New Roman" w:cs="Times New Roman"/>
          <w:i/>
        </w:rPr>
        <w:t>signata</w:t>
      </w:r>
      <w:proofErr w:type="spellEnd"/>
      <w:r w:rsidR="00235B00">
        <w:rPr>
          <w:rFonts w:ascii="Times New Roman" w:hAnsi="Times New Roman" w:cs="Times New Roman"/>
          <w:i/>
        </w:rPr>
        <w:t xml:space="preserve"> </w:t>
      </w:r>
      <w:r w:rsidR="00235B00">
        <w:rPr>
          <w:rFonts w:ascii="Times New Roman" w:hAnsi="Times New Roman" w:cs="Times New Roman"/>
        </w:rPr>
        <w:t>Complex members (Brown and Siler, 2013).  The exception</w:t>
      </w:r>
      <w:r w:rsidR="00D0490E">
        <w:rPr>
          <w:rFonts w:ascii="Times New Roman" w:hAnsi="Times New Roman" w:cs="Times New Roman"/>
        </w:rPr>
        <w:t>s</w:t>
      </w:r>
      <w:r w:rsidR="00235B00">
        <w:rPr>
          <w:rFonts w:ascii="Times New Roman" w:hAnsi="Times New Roman" w:cs="Times New Roman"/>
        </w:rPr>
        <w:t xml:space="preserve"> are members of the </w:t>
      </w:r>
      <w:r w:rsidR="00235B00">
        <w:rPr>
          <w:rFonts w:ascii="Times New Roman" w:hAnsi="Times New Roman" w:cs="Times New Roman"/>
          <w:i/>
        </w:rPr>
        <w:t xml:space="preserve">H. </w:t>
      </w:r>
      <w:proofErr w:type="spellStart"/>
      <w:r w:rsidR="00235B00">
        <w:rPr>
          <w:rFonts w:ascii="Times New Roman" w:hAnsi="Times New Roman" w:cs="Times New Roman"/>
          <w:i/>
        </w:rPr>
        <w:t>picturata</w:t>
      </w:r>
      <w:proofErr w:type="spellEnd"/>
      <w:r w:rsidR="00235B00">
        <w:rPr>
          <w:rFonts w:ascii="Times New Roman" w:hAnsi="Times New Roman" w:cs="Times New Roman"/>
          <w:i/>
        </w:rPr>
        <w:t xml:space="preserve"> </w:t>
      </w:r>
      <w:r w:rsidR="00235B00">
        <w:rPr>
          <w:rFonts w:ascii="Times New Roman" w:hAnsi="Times New Roman" w:cs="Times New Roman"/>
        </w:rPr>
        <w:t>Complex which</w:t>
      </w:r>
      <w:r w:rsidR="00D0490E">
        <w:rPr>
          <w:rFonts w:ascii="Times New Roman" w:hAnsi="Times New Roman" w:cs="Times New Roman"/>
        </w:rPr>
        <w:t>,</w:t>
      </w:r>
      <w:r w:rsidR="00235B00">
        <w:rPr>
          <w:rFonts w:ascii="Times New Roman" w:hAnsi="Times New Roman" w:cs="Times New Roman"/>
        </w:rPr>
        <w:t xml:space="preserve"> although currently </w:t>
      </w:r>
      <w:r w:rsidR="00D0490E">
        <w:rPr>
          <w:rFonts w:ascii="Times New Roman" w:hAnsi="Times New Roman" w:cs="Times New Roman"/>
        </w:rPr>
        <w:t>masquerading under a single species name, are suspected by numerous workers to represent a complex of distinct evolutionary lineages which now require taxonomic partitioning (Brown and Guttman, 2002; Brown and Siler, 2013;</w:t>
      </w:r>
      <w:r w:rsidR="00674FB2">
        <w:rPr>
          <w:rFonts w:ascii="Times New Roman" w:hAnsi="Times New Roman" w:cs="Times New Roman"/>
        </w:rPr>
        <w:t xml:space="preserve"> personal communication with L.L. </w:t>
      </w:r>
      <w:proofErr w:type="spellStart"/>
      <w:r w:rsidR="00674FB2">
        <w:rPr>
          <w:rFonts w:ascii="Times New Roman" w:hAnsi="Times New Roman" w:cs="Times New Roman"/>
        </w:rPr>
        <w:t>Grismer</w:t>
      </w:r>
      <w:proofErr w:type="spellEnd"/>
      <w:r w:rsidR="00674FB2">
        <w:rPr>
          <w:rFonts w:ascii="Times New Roman" w:hAnsi="Times New Roman" w:cs="Times New Roman"/>
        </w:rPr>
        <w:t xml:space="preserve"> and R.</w:t>
      </w:r>
      <w:r w:rsidR="00D0490E">
        <w:rPr>
          <w:rFonts w:ascii="Times New Roman" w:hAnsi="Times New Roman" w:cs="Times New Roman"/>
        </w:rPr>
        <w:t xml:space="preserve">F. </w:t>
      </w:r>
      <w:proofErr w:type="spellStart"/>
      <w:r w:rsidR="00D0490E">
        <w:rPr>
          <w:rFonts w:ascii="Times New Roman" w:hAnsi="Times New Roman" w:cs="Times New Roman"/>
        </w:rPr>
        <w:t>Inger</w:t>
      </w:r>
      <w:proofErr w:type="spellEnd"/>
      <w:r w:rsidR="00D0490E">
        <w:rPr>
          <w:rFonts w:ascii="Times New Roman" w:hAnsi="Times New Roman" w:cs="Times New Roman"/>
        </w:rPr>
        <w:t xml:space="preserve">). </w:t>
      </w:r>
      <w:r w:rsidR="00177342">
        <w:rPr>
          <w:rFonts w:ascii="Times New Roman" w:hAnsi="Times New Roman" w:cs="Times New Roman"/>
        </w:rPr>
        <w:t>Here</w:t>
      </w:r>
      <w:r w:rsidR="00B4478E">
        <w:rPr>
          <w:rFonts w:ascii="Times New Roman" w:hAnsi="Times New Roman" w:cs="Times New Roman"/>
        </w:rPr>
        <w:t>,</w:t>
      </w:r>
      <w:r w:rsidR="00177342">
        <w:rPr>
          <w:rFonts w:ascii="Times New Roman" w:hAnsi="Times New Roman" w:cs="Times New Roman"/>
        </w:rPr>
        <w:t xml:space="preserve"> we</w:t>
      </w:r>
      <w:r w:rsidR="000169BF" w:rsidRPr="009B159C">
        <w:rPr>
          <w:rFonts w:ascii="Times New Roman" w:hAnsi="Times New Roman" w:cs="Times New Roman"/>
        </w:rPr>
        <w:t xml:space="preserve">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w:t>
      </w:r>
      <w:r w:rsidR="00583D50">
        <w:rPr>
          <w:rFonts w:ascii="Times New Roman" w:hAnsi="Times New Roman" w:cs="Times New Roman"/>
        </w:rPr>
        <w:t>Having</w:t>
      </w:r>
      <w:r w:rsidR="00894EE4">
        <w:rPr>
          <w:rFonts w:ascii="Times New Roman" w:hAnsi="Times New Roman" w:cs="Times New Roman"/>
        </w:rPr>
        <w:t xml:space="preserve"> distinct</w:t>
      </w:r>
      <w:r w:rsidR="00583D50">
        <w:rPr>
          <w:rFonts w:ascii="Times New Roman" w:hAnsi="Times New Roman" w:cs="Times New Roman"/>
        </w:rPr>
        <w:t xml:space="preserve">, </w:t>
      </w:r>
      <w:r w:rsidR="00894EE4">
        <w:rPr>
          <w:rFonts w:ascii="Times New Roman" w:hAnsi="Times New Roman" w:cs="Times New Roman"/>
        </w:rPr>
        <w:t>diagnosable</w:t>
      </w:r>
      <w:r w:rsidR="00583D50">
        <w:rPr>
          <w:rFonts w:ascii="Times New Roman" w:hAnsi="Times New Roman" w:cs="Times New Roman"/>
        </w:rPr>
        <w:t xml:space="preserve">, </w:t>
      </w:r>
      <w:r w:rsidR="00894EE4">
        <w:rPr>
          <w:rFonts w:ascii="Times New Roman" w:hAnsi="Times New Roman" w:cs="Times New Roman"/>
        </w:rPr>
        <w:t>fixed character differences, bolstered by the only known occurrence of the new species as a distantly allopatric, biogeographically circumscribed lineage,</w:t>
      </w:r>
      <w:r w:rsidR="000169BF" w:rsidRPr="009B159C">
        <w:rPr>
          <w:rFonts w:ascii="Times New Roman" w:hAnsi="Times New Roman" w:cs="Times New Roman"/>
        </w:rPr>
        <w:t xml:space="preserve"> strongly </w:t>
      </w:r>
      <w:r w:rsidR="000169BF" w:rsidRPr="009B159C">
        <w:rPr>
          <w:rFonts w:ascii="Times New Roman" w:hAnsi="Times New Roman" w:cs="Times New Roman"/>
        </w:rPr>
        <w:lastRenderedPageBreak/>
        <w:t xml:space="preserve">support the recognition of the Peninsular Malaysian specimens as a new </w:t>
      </w:r>
      <w:r w:rsidR="000235B6" w:rsidRPr="009B159C">
        <w:rPr>
          <w:rFonts w:ascii="Times New Roman" w:hAnsi="Times New Roman" w:cs="Times New Roman"/>
        </w:rPr>
        <w:t>species, which</w:t>
      </w:r>
      <w:r w:rsidR="00815A8A">
        <w:rPr>
          <w:rFonts w:ascii="Times New Roman" w:hAnsi="Times New Roman" w:cs="Times New Roman"/>
        </w:rPr>
        <w:t xml:space="preserve"> we describe</w:t>
      </w:r>
      <w:r w:rsidR="000169BF" w:rsidRPr="009B159C">
        <w:rPr>
          <w:rFonts w:ascii="Times New Roman" w:hAnsi="Times New Roman" w:cs="Times New Roman"/>
        </w:rPr>
        <w:t xml:space="preserve"> </w:t>
      </w:r>
      <w:r w:rsidR="00E1181C">
        <w:rPr>
          <w:rFonts w:ascii="Times New Roman" w:hAnsi="Times New Roman" w:cs="Times New Roman"/>
        </w:rPr>
        <w:t>as</w:t>
      </w:r>
      <w:r w:rsidR="000169BF" w:rsidRPr="009B159C">
        <w:rPr>
          <w:rFonts w:ascii="Times New Roman" w:hAnsi="Times New Roman" w:cs="Times New Roman"/>
        </w:rPr>
        <w:t xml:space="preserve">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lastRenderedPageBreak/>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3FE568C5" w:rsidR="00E93BEF" w:rsidRPr="00D343E0"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xml:space="preserve">; </w:t>
      </w:r>
      <w:r w:rsidR="00D343E0">
        <w:rPr>
          <w:rFonts w:ascii="Times New Roman" w:hAnsi="Times New Roman" w:cs="Times New Roman"/>
          <w:bCs/>
        </w:rPr>
        <w:t xml:space="preserve">adult male, </w:t>
      </w:r>
      <w:r w:rsidR="00D343E0" w:rsidRPr="00754605">
        <w:rPr>
          <w:rFonts w:ascii="Times New Roman" w:hAnsi="Times New Roman" w:cs="Times New Roman"/>
          <w:bCs/>
        </w:rPr>
        <w:t>testes</w:t>
      </w:r>
      <w:r w:rsidR="00D343E0" w:rsidRPr="00B4478E">
        <w:rPr>
          <w:rFonts w:ascii="Times New Roman" w:hAnsi="Times New Roman" w:cs="Times New Roman"/>
          <w:bCs/>
        </w:rPr>
        <w:t xml:space="preserve"> </w:t>
      </w:r>
      <w:r w:rsidR="00D343E0">
        <w:rPr>
          <w:rFonts w:ascii="Times New Roman" w:hAnsi="Times New Roman" w:cs="Times New Roman"/>
          <w:bCs/>
        </w:rPr>
        <w:t xml:space="preserve">enlarged, </w:t>
      </w:r>
      <w:r w:rsidR="00D343E0" w:rsidRPr="00B4478E">
        <w:rPr>
          <w:rFonts w:ascii="Times New Roman" w:hAnsi="Times New Roman" w:cs="Times New Roman"/>
          <w:bCs/>
        </w:rPr>
        <w:t xml:space="preserve">oval, finely granular, </w:t>
      </w:r>
      <w:r w:rsidR="00D343E0">
        <w:rPr>
          <w:rFonts w:ascii="Times New Roman" w:hAnsi="Times New Roman" w:cs="Times New Roman"/>
          <w:bCs/>
        </w:rPr>
        <w:t xml:space="preserve">with orange granules on yellowish surface, </w:t>
      </w:r>
      <w:r w:rsidR="00D343E0" w:rsidRPr="00B4478E">
        <w:rPr>
          <w:rFonts w:ascii="Times New Roman" w:hAnsi="Times New Roman" w:cs="Times New Roman"/>
          <w:bCs/>
        </w:rPr>
        <w:t>anterior to kidneys.</w:t>
      </w:r>
      <w:r w:rsidR="00D343E0">
        <w:rPr>
          <w:rFonts w:ascii="Times New Roman" w:hAnsi="Times New Roman" w:cs="Times New Roman"/>
          <w:bCs/>
        </w:rPr>
        <w:t xml:space="preserve"> H</w:t>
      </w:r>
      <w:r w:rsidRPr="009B159C">
        <w:rPr>
          <w:rFonts w:ascii="Times New Roman" w:hAnsi="Times New Roman" w:cs="Times New Roman"/>
          <w:bCs/>
        </w:rPr>
        <w:t>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w:t>
      </w:r>
      <w:r w:rsidRPr="009B159C">
        <w:rPr>
          <w:rFonts w:ascii="Times New Roman" w:hAnsi="Times New Roman" w:cs="Times New Roman"/>
          <w:bCs/>
        </w:rPr>
        <w:lastRenderedPageBreak/>
        <w:t>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64F59BDC" w14:textId="5732E364" w:rsidR="00B4478E" w:rsidRPr="009B159C" w:rsidRDefault="00143DFB" w:rsidP="00D343E0">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lastRenderedPageBreak/>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446E3BA3" w:rsidR="00143DFB" w:rsidRPr="00B4478E" w:rsidRDefault="00143DFB" w:rsidP="00B4478E">
      <w:pPr>
        <w:pStyle w:val="DefaultStyle"/>
        <w:spacing w:line="480" w:lineRule="auto"/>
        <w:ind w:firstLine="720"/>
        <w:rPr>
          <w:rFonts w:ascii="Times New Roman" w:hAnsi="Times New Roman" w:cs="Times New Roman"/>
          <w:bCs/>
        </w:rPr>
      </w:pPr>
      <w:r w:rsidRPr="009B159C">
        <w:rPr>
          <w:rFonts w:ascii="Times New Roman" w:hAnsi="Times New Roman" w:cs="Times New Roman"/>
          <w:i/>
        </w:rPr>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w:t>
      </w:r>
      <w:proofErr w:type="spellStart"/>
      <w:r w:rsidR="002C23CD"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lastRenderedPageBreak/>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xml:space="preserve">). One plausible scenario would be the existence of a widespread ancestral species that occurred in Sumatra and Peninsular Malaysia in the past. This is substantiated by the fact that the Strait of Malacca that separates Peninsular Malaysia and Sumatra is narrowest (ca. </w:t>
      </w:r>
      <w:r w:rsidRPr="009B159C">
        <w:rPr>
          <w:rFonts w:ascii="Times New Roman" w:hAnsi="Times New Roman" w:cs="Times New Roman"/>
          <w:bCs/>
        </w:rPr>
        <w:lastRenderedPageBreak/>
        <w:t>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Iskandar,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w:t>
      </w:r>
      <w:r w:rsidRPr="009B159C">
        <w:rPr>
          <w:rFonts w:ascii="Times New Roman" w:hAnsi="Times New Roman" w:cs="Times New Roman"/>
          <w:bCs/>
        </w:rPr>
        <w:lastRenderedPageBreak/>
        <w:t xml:space="preserve">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Guttman,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t>Sunda</w:t>
      </w:r>
      <w:proofErr w:type="spellEnd"/>
      <w:r w:rsidR="0009394D" w:rsidRPr="009B159C">
        <w:rPr>
          <w:rFonts w:ascii="Times New Roman" w:hAnsi="Times New Roman" w:cs="Times New Roman"/>
          <w:bCs/>
        </w:rPr>
        <w:t xml:space="preserve"> Shelf islands should be prioritized as targets of future research. The taxonomic 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Guttman,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lastRenderedPageBreak/>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Guttman.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Distribution and natural history notes on some poorly known frogs and snakes from Peninsular Malaysia. </w:t>
      </w:r>
      <w:proofErr w:type="gramStart"/>
      <w:r w:rsidRPr="009B159C">
        <w:rPr>
          <w:rFonts w:ascii="Times New Roman" w:hAnsi="Times New Roman" w:cs="Times New Roman"/>
        </w:rPr>
        <w:t>Herpetological Review 40:294–301.</w:t>
      </w:r>
      <w:proofErr w:type="gramEnd"/>
      <w:r w:rsidRPr="009B159C">
        <w:rPr>
          <w:rFonts w:ascii="Times New Roman" w:hAnsi="Times New Roman" w:cs="Times New Roman"/>
        </w:rPr>
        <w:t xml:space="preserve">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D. </w:t>
      </w:r>
      <w:proofErr w:type="spellStart"/>
      <w:r w:rsidRPr="009B159C">
        <w:rPr>
          <w:rFonts w:ascii="Times New Roman" w:hAnsi="Times New Roman" w:cs="Times New Roman"/>
        </w:rPr>
        <w:t>Belabut</w:t>
      </w:r>
      <w:proofErr w:type="spellEnd"/>
      <w:r w:rsidRPr="009B159C">
        <w:rPr>
          <w:rFonts w:ascii="Times New Roman" w:hAnsi="Times New Roman" w:cs="Times New Roman"/>
        </w:rPr>
        <w:t xml:space="preserve">,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2010. A revised checklist of the amphibians of Peninsular Malaysia. </w:t>
      </w:r>
      <w:proofErr w:type="gramStart"/>
      <w:r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lastRenderedPageBreak/>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Iskandar,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Phylogenetics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86EACAF"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lastRenderedPageBreak/>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 xml:space="preserve">fishes in Peninsular Malaysia, particularly in the North Selangor peat swamp </w:t>
      </w:r>
      <w:r w:rsidRPr="009B159C">
        <w:rPr>
          <w:rFonts w:ascii="Times New Roman" w:hAnsi="Times New Roman" w:cs="Times New Roman"/>
        </w:rPr>
        <w:tab/>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w:t>
      </w:r>
      <w:proofErr w:type="gramStart"/>
      <w:r w:rsidR="00842D19">
        <w:rPr>
          <w:rFonts w:ascii="Times New Roman" w:hAnsi="Times New Roman" w:cs="Times New Roman"/>
        </w:rPr>
        <w:t xml:space="preserve">Bioinformatics </w:t>
      </w:r>
      <w:r w:rsidRPr="009B159C">
        <w:rPr>
          <w:rFonts w:ascii="Times New Roman" w:hAnsi="Times New Roman" w:cs="Times New Roman"/>
        </w:rPr>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5B99B569"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00674FB2">
        <w:rPr>
          <w:rFonts w:ascii="Times New Roman" w:hAnsi="Times New Roman" w:cs="Times New Roman"/>
        </w:rPr>
        <w:t xml:space="preserve">) of Malaysia. </w:t>
      </w:r>
      <w:r w:rsidRPr="009B159C">
        <w:rPr>
          <w:rFonts w:ascii="Times New Roman" w:hAnsi="Times New Roman" w:cs="Times New Roman"/>
        </w:rPr>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Default="00A541C7" w:rsidP="00200961">
      <w:pPr>
        <w:pStyle w:val="DefaultStyle"/>
        <w:spacing w:line="480" w:lineRule="auto"/>
        <w:rPr>
          <w:rFonts w:ascii="Times New Roman" w:hAnsi="Times New Roman" w:cs="Times New Roman"/>
        </w:rPr>
      </w:pPr>
    </w:p>
    <w:p w14:paraId="136BCB17" w14:textId="77777777" w:rsidR="00D343E0" w:rsidRDefault="00D343E0" w:rsidP="00200961">
      <w:pPr>
        <w:pStyle w:val="DefaultStyle"/>
        <w:spacing w:line="480" w:lineRule="auto"/>
        <w:rPr>
          <w:rFonts w:ascii="Times New Roman" w:hAnsi="Times New Roman" w:cs="Times New Roman"/>
        </w:rPr>
      </w:pPr>
    </w:p>
    <w:p w14:paraId="64B7BB65" w14:textId="77777777" w:rsidR="00D343E0" w:rsidRDefault="00D343E0" w:rsidP="00200961">
      <w:pPr>
        <w:pStyle w:val="DefaultStyle"/>
        <w:spacing w:line="480" w:lineRule="auto"/>
        <w:rPr>
          <w:rFonts w:ascii="Times New Roman" w:hAnsi="Times New Roman" w:cs="Times New Roman"/>
        </w:rPr>
      </w:pPr>
    </w:p>
    <w:p w14:paraId="75B87EBF" w14:textId="77777777" w:rsidR="00D343E0" w:rsidRDefault="00D343E0" w:rsidP="00200961">
      <w:pPr>
        <w:pStyle w:val="DefaultStyle"/>
        <w:spacing w:line="480" w:lineRule="auto"/>
        <w:rPr>
          <w:rFonts w:ascii="Times New Roman" w:hAnsi="Times New Roman" w:cs="Times New Roman"/>
        </w:rPr>
      </w:pPr>
    </w:p>
    <w:p w14:paraId="010B3DE5" w14:textId="77777777" w:rsidR="00D343E0" w:rsidRDefault="00D343E0" w:rsidP="00200961">
      <w:pPr>
        <w:pStyle w:val="DefaultStyle"/>
        <w:spacing w:line="480" w:lineRule="auto"/>
        <w:rPr>
          <w:rFonts w:ascii="Times New Roman" w:hAnsi="Times New Roman" w:cs="Times New Roman"/>
        </w:rPr>
      </w:pPr>
    </w:p>
    <w:p w14:paraId="37CE49C0" w14:textId="77777777" w:rsidR="00D343E0" w:rsidRDefault="00D343E0" w:rsidP="00200961">
      <w:pPr>
        <w:pStyle w:val="DefaultStyle"/>
        <w:spacing w:line="480" w:lineRule="auto"/>
        <w:rPr>
          <w:rFonts w:ascii="Times New Roman" w:hAnsi="Times New Roman" w:cs="Times New Roman"/>
        </w:rPr>
      </w:pPr>
    </w:p>
    <w:p w14:paraId="3ED70867" w14:textId="77777777" w:rsidR="00D343E0" w:rsidRDefault="00D343E0" w:rsidP="00200961">
      <w:pPr>
        <w:pStyle w:val="DefaultStyle"/>
        <w:spacing w:line="480" w:lineRule="auto"/>
        <w:rPr>
          <w:rFonts w:ascii="Times New Roman" w:hAnsi="Times New Roman" w:cs="Times New Roman"/>
        </w:rPr>
      </w:pPr>
    </w:p>
    <w:p w14:paraId="7E85DE81" w14:textId="77777777" w:rsidR="00D343E0" w:rsidRDefault="00D343E0" w:rsidP="00200961">
      <w:pPr>
        <w:pStyle w:val="DefaultStyle"/>
        <w:spacing w:line="480" w:lineRule="auto"/>
        <w:rPr>
          <w:rFonts w:ascii="Times New Roman" w:hAnsi="Times New Roman" w:cs="Times New Roman"/>
        </w:rPr>
      </w:pPr>
    </w:p>
    <w:p w14:paraId="64CAE26F" w14:textId="77777777" w:rsidR="00D343E0" w:rsidRDefault="00D343E0" w:rsidP="00200961">
      <w:pPr>
        <w:pStyle w:val="DefaultStyle"/>
        <w:spacing w:line="480" w:lineRule="auto"/>
        <w:rPr>
          <w:rFonts w:ascii="Times New Roman" w:hAnsi="Times New Roman" w:cs="Times New Roman"/>
        </w:rPr>
      </w:pPr>
    </w:p>
    <w:p w14:paraId="4F05BF02" w14:textId="77777777" w:rsidR="00D343E0" w:rsidRDefault="00D343E0" w:rsidP="00200961">
      <w:pPr>
        <w:pStyle w:val="DefaultStyle"/>
        <w:spacing w:line="480" w:lineRule="auto"/>
        <w:rPr>
          <w:rFonts w:ascii="Times New Roman" w:hAnsi="Times New Roman" w:cs="Times New Roman"/>
        </w:rPr>
      </w:pPr>
    </w:p>
    <w:p w14:paraId="3A406DB4" w14:textId="77777777" w:rsidR="00D343E0" w:rsidRDefault="00D343E0" w:rsidP="00200961">
      <w:pPr>
        <w:pStyle w:val="DefaultStyle"/>
        <w:spacing w:line="480" w:lineRule="auto"/>
        <w:rPr>
          <w:rFonts w:ascii="Times New Roman" w:hAnsi="Times New Roman" w:cs="Times New Roman"/>
        </w:rPr>
      </w:pPr>
    </w:p>
    <w:p w14:paraId="17D4D95F" w14:textId="77777777" w:rsidR="00D343E0" w:rsidRDefault="00D343E0" w:rsidP="00200961">
      <w:pPr>
        <w:pStyle w:val="DefaultStyle"/>
        <w:spacing w:line="480" w:lineRule="auto"/>
        <w:rPr>
          <w:rFonts w:ascii="Times New Roman" w:hAnsi="Times New Roman" w:cs="Times New Roman"/>
        </w:rPr>
      </w:pPr>
    </w:p>
    <w:p w14:paraId="61EF86E5" w14:textId="77777777" w:rsidR="00D343E0" w:rsidRPr="009B159C" w:rsidRDefault="00D343E0"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Voucher specimens are listed in Appendix I of Brown and Guttman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5A4510AF"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=2</w:t>
            </w:r>
          </w:p>
        </w:tc>
        <w:tc>
          <w:tcPr>
            <w:tcW w:w="1300" w:type="dxa"/>
            <w:tcBorders>
              <w:top w:val="nil"/>
              <w:left w:val="nil"/>
              <w:bottom w:val="single" w:sz="4" w:space="0" w:color="auto"/>
              <w:right w:val="nil"/>
            </w:tcBorders>
            <w:shd w:val="clear" w:color="auto" w:fill="auto"/>
            <w:noWrap/>
            <w:hideMark/>
          </w:tcPr>
          <w:p w14:paraId="229B2BAF" w14:textId="151E1F91"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=5</w:t>
            </w:r>
          </w:p>
        </w:tc>
        <w:tc>
          <w:tcPr>
            <w:tcW w:w="1240" w:type="dxa"/>
            <w:tcBorders>
              <w:top w:val="nil"/>
              <w:left w:val="nil"/>
              <w:bottom w:val="single" w:sz="4" w:space="0" w:color="auto"/>
              <w:right w:val="nil"/>
            </w:tcBorders>
            <w:shd w:val="clear" w:color="auto" w:fill="auto"/>
            <w:noWrap/>
            <w:hideMark/>
          </w:tcPr>
          <w:p w14:paraId="35E7AF44" w14:textId="38278958"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=148</w:t>
            </w:r>
          </w:p>
        </w:tc>
        <w:tc>
          <w:tcPr>
            <w:tcW w:w="1360" w:type="dxa"/>
            <w:tcBorders>
              <w:top w:val="nil"/>
              <w:left w:val="nil"/>
              <w:bottom w:val="single" w:sz="4" w:space="0" w:color="auto"/>
              <w:right w:val="nil"/>
            </w:tcBorders>
            <w:shd w:val="clear" w:color="auto" w:fill="auto"/>
            <w:noWrap/>
            <w:hideMark/>
          </w:tcPr>
          <w:p w14:paraId="143BA39D" w14:textId="2D4312B2"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762A8D">
        <w:trPr>
          <w:trHeight w:val="700"/>
        </w:trPr>
        <w:tc>
          <w:tcPr>
            <w:tcW w:w="1480" w:type="dxa"/>
            <w:tcBorders>
              <w:top w:val="nil"/>
              <w:left w:val="nil"/>
              <w:bottom w:val="single" w:sz="4" w:space="0" w:color="auto"/>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single" w:sz="4" w:space="0" w:color="auto"/>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single" w:sz="4" w:space="0" w:color="auto"/>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single" w:sz="4" w:space="0" w:color="auto"/>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single" w:sz="4" w:space="0" w:color="auto"/>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762A8D">
        <w:trPr>
          <w:trHeight w:val="300"/>
        </w:trPr>
        <w:tc>
          <w:tcPr>
            <w:tcW w:w="1480" w:type="dxa"/>
            <w:tcBorders>
              <w:top w:val="single" w:sz="4" w:space="0" w:color="auto"/>
              <w:left w:val="nil"/>
              <w:bottom w:val="nil"/>
              <w:right w:val="nil"/>
            </w:tcBorders>
            <w:shd w:val="clear" w:color="auto" w:fill="auto"/>
            <w:noWrap/>
            <w:vAlign w:val="bottom"/>
            <w:hideMark/>
          </w:tcPr>
          <w:p w14:paraId="0611D288" w14:textId="2444D8B2"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=102</w:t>
            </w:r>
          </w:p>
        </w:tc>
        <w:tc>
          <w:tcPr>
            <w:tcW w:w="1300" w:type="dxa"/>
            <w:tcBorders>
              <w:top w:val="single" w:sz="4" w:space="0" w:color="auto"/>
              <w:left w:val="nil"/>
              <w:bottom w:val="nil"/>
              <w:right w:val="nil"/>
            </w:tcBorders>
            <w:shd w:val="clear" w:color="auto" w:fill="auto"/>
            <w:noWrap/>
            <w:vAlign w:val="bottom"/>
            <w:hideMark/>
          </w:tcPr>
          <w:p w14:paraId="74C65091" w14:textId="31D12B7F"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=122</w:t>
            </w:r>
          </w:p>
        </w:tc>
        <w:tc>
          <w:tcPr>
            <w:tcW w:w="1300" w:type="dxa"/>
            <w:tcBorders>
              <w:top w:val="single" w:sz="4" w:space="0" w:color="auto"/>
              <w:left w:val="nil"/>
              <w:bottom w:val="nil"/>
              <w:right w:val="nil"/>
            </w:tcBorders>
            <w:shd w:val="clear" w:color="auto" w:fill="auto"/>
            <w:noWrap/>
            <w:vAlign w:val="bottom"/>
            <w:hideMark/>
          </w:tcPr>
          <w:p w14:paraId="770DCE79" w14:textId="61441068"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=3</w:t>
            </w:r>
          </w:p>
        </w:tc>
        <w:tc>
          <w:tcPr>
            <w:tcW w:w="1300" w:type="dxa"/>
            <w:tcBorders>
              <w:top w:val="single" w:sz="4" w:space="0" w:color="auto"/>
              <w:left w:val="nil"/>
              <w:bottom w:val="nil"/>
              <w:right w:val="nil"/>
            </w:tcBorders>
            <w:shd w:val="clear" w:color="auto" w:fill="auto"/>
            <w:noWrap/>
            <w:vAlign w:val="bottom"/>
            <w:hideMark/>
          </w:tcPr>
          <w:p w14:paraId="67B6E546" w14:textId="0DC47437"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=112</w:t>
            </w:r>
          </w:p>
        </w:tc>
        <w:tc>
          <w:tcPr>
            <w:tcW w:w="1300" w:type="dxa"/>
            <w:tcBorders>
              <w:top w:val="single" w:sz="4" w:space="0" w:color="auto"/>
              <w:left w:val="nil"/>
              <w:bottom w:val="nil"/>
              <w:right w:val="nil"/>
            </w:tcBorders>
            <w:shd w:val="clear" w:color="auto" w:fill="auto"/>
            <w:noWrap/>
            <w:vAlign w:val="bottom"/>
            <w:hideMark/>
          </w:tcPr>
          <w:p w14:paraId="6E86AF3B" w14:textId="759B054C"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p>
    <w:tbl>
      <w:tblPr>
        <w:tblW w:w="9380" w:type="dxa"/>
        <w:tblInd w:w="93" w:type="dxa"/>
        <w:tblLook w:val="04A0" w:firstRow="1" w:lastRow="0" w:firstColumn="1" w:lastColumn="0" w:noHBand="0" w:noVBand="1"/>
      </w:tblPr>
      <w:tblGrid>
        <w:gridCol w:w="2720"/>
        <w:gridCol w:w="2016"/>
        <w:gridCol w:w="2000"/>
        <w:gridCol w:w="2660"/>
      </w:tblGrid>
      <w:tr w:rsidR="00762A8D" w:rsidRPr="009B159C" w14:paraId="04AB3A86" w14:textId="77777777" w:rsidTr="00762A8D">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tcPr>
          <w:p w14:paraId="212FA245" w14:textId="77777777" w:rsidR="00762A8D" w:rsidRPr="009B159C" w:rsidRDefault="00762A8D" w:rsidP="004E77F9">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59BC5AA9" w14:textId="3B70EBA9" w:rsidR="00762A8D" w:rsidRPr="009B159C" w:rsidRDefault="00762A8D" w:rsidP="006B7814">
            <w:pPr>
              <w:spacing w:line="480" w:lineRule="auto"/>
              <w:rPr>
                <w:rFonts w:ascii="Times New Roman" w:eastAsia="Times New Roman" w:hAnsi="Times New Roman" w:cs="Times New Roman"/>
                <w:i/>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c>
          <w:tcPr>
            <w:tcW w:w="2000" w:type="dxa"/>
            <w:tcBorders>
              <w:top w:val="single" w:sz="4" w:space="0" w:color="auto"/>
              <w:left w:val="nil"/>
              <w:bottom w:val="single" w:sz="4" w:space="0" w:color="auto"/>
              <w:right w:val="nil"/>
            </w:tcBorders>
            <w:shd w:val="clear" w:color="auto" w:fill="auto"/>
            <w:noWrap/>
            <w:hideMark/>
          </w:tcPr>
          <w:p w14:paraId="7A07572D" w14:textId="7FD2EC33"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762A8D" w:rsidRPr="009B159C" w14:paraId="461BA9FC" w14:textId="77777777" w:rsidTr="00762A8D">
        <w:trPr>
          <w:trHeight w:val="300"/>
        </w:trPr>
        <w:tc>
          <w:tcPr>
            <w:tcW w:w="2720" w:type="dxa"/>
            <w:tcBorders>
              <w:top w:val="nil"/>
              <w:left w:val="nil"/>
              <w:bottom w:val="nil"/>
              <w:right w:val="nil"/>
            </w:tcBorders>
            <w:shd w:val="clear" w:color="auto" w:fill="auto"/>
            <w:noWrap/>
            <w:hideMark/>
          </w:tcPr>
          <w:p w14:paraId="37F0DA15"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tcPr>
          <w:p w14:paraId="4C69CD4C" w14:textId="760D8DE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c>
          <w:tcPr>
            <w:tcW w:w="2000" w:type="dxa"/>
            <w:tcBorders>
              <w:top w:val="nil"/>
              <w:left w:val="nil"/>
              <w:bottom w:val="nil"/>
              <w:right w:val="nil"/>
            </w:tcBorders>
            <w:shd w:val="clear" w:color="auto" w:fill="auto"/>
            <w:noWrap/>
            <w:hideMark/>
          </w:tcPr>
          <w:p w14:paraId="3090F464" w14:textId="29EEE23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762A8D" w:rsidRPr="009B159C" w14:paraId="421CCDE2" w14:textId="77777777" w:rsidTr="00762A8D">
        <w:trPr>
          <w:trHeight w:val="600"/>
        </w:trPr>
        <w:tc>
          <w:tcPr>
            <w:tcW w:w="2720" w:type="dxa"/>
            <w:tcBorders>
              <w:top w:val="nil"/>
              <w:left w:val="nil"/>
              <w:bottom w:val="nil"/>
              <w:right w:val="nil"/>
            </w:tcBorders>
            <w:shd w:val="clear" w:color="auto" w:fill="auto"/>
            <w:hideMark/>
          </w:tcPr>
          <w:p w14:paraId="2E55092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tcPr>
          <w:p w14:paraId="189EFFE3" w14:textId="0108E8A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c>
          <w:tcPr>
            <w:tcW w:w="2000" w:type="dxa"/>
            <w:tcBorders>
              <w:top w:val="nil"/>
              <w:left w:val="nil"/>
              <w:bottom w:val="nil"/>
              <w:right w:val="nil"/>
            </w:tcBorders>
            <w:shd w:val="clear" w:color="auto" w:fill="auto"/>
            <w:noWrap/>
            <w:hideMark/>
          </w:tcPr>
          <w:p w14:paraId="74F4BDC3" w14:textId="11F5AA9D"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762A8D" w:rsidRPr="009B159C" w14:paraId="693F86FB" w14:textId="77777777" w:rsidTr="00762A8D">
        <w:trPr>
          <w:trHeight w:val="300"/>
        </w:trPr>
        <w:tc>
          <w:tcPr>
            <w:tcW w:w="2720" w:type="dxa"/>
            <w:tcBorders>
              <w:top w:val="nil"/>
              <w:left w:val="nil"/>
              <w:bottom w:val="nil"/>
              <w:right w:val="nil"/>
            </w:tcBorders>
            <w:shd w:val="clear" w:color="auto" w:fill="auto"/>
            <w:noWrap/>
            <w:hideMark/>
          </w:tcPr>
          <w:p w14:paraId="6613240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tcPr>
          <w:p w14:paraId="623323CF" w14:textId="4DD10D9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000" w:type="dxa"/>
            <w:tcBorders>
              <w:top w:val="nil"/>
              <w:left w:val="nil"/>
              <w:bottom w:val="nil"/>
              <w:right w:val="nil"/>
            </w:tcBorders>
            <w:shd w:val="clear" w:color="auto" w:fill="auto"/>
            <w:noWrap/>
            <w:hideMark/>
          </w:tcPr>
          <w:p w14:paraId="4787C1E7" w14:textId="26CB5972"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762A8D" w:rsidRPr="009B159C" w14:paraId="4AFA0795" w14:textId="77777777" w:rsidTr="00762A8D">
        <w:trPr>
          <w:trHeight w:val="600"/>
        </w:trPr>
        <w:tc>
          <w:tcPr>
            <w:tcW w:w="2720" w:type="dxa"/>
            <w:tcBorders>
              <w:top w:val="nil"/>
              <w:left w:val="nil"/>
              <w:bottom w:val="nil"/>
              <w:right w:val="nil"/>
            </w:tcBorders>
            <w:shd w:val="clear" w:color="auto" w:fill="auto"/>
            <w:noWrap/>
            <w:hideMark/>
          </w:tcPr>
          <w:p w14:paraId="452A4C36" w14:textId="77777777" w:rsidR="00762A8D" w:rsidRPr="009B159C" w:rsidRDefault="00762A8D"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tcPr>
          <w:p w14:paraId="75DF0640" w14:textId="6802BD3B"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c>
          <w:tcPr>
            <w:tcW w:w="2000" w:type="dxa"/>
            <w:tcBorders>
              <w:top w:val="nil"/>
              <w:left w:val="nil"/>
              <w:bottom w:val="nil"/>
              <w:right w:val="nil"/>
            </w:tcBorders>
            <w:shd w:val="clear" w:color="auto" w:fill="auto"/>
            <w:noWrap/>
            <w:hideMark/>
          </w:tcPr>
          <w:p w14:paraId="48956167" w14:textId="5EF19B48"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762A8D" w:rsidRPr="009B159C" w14:paraId="2E635B6A" w14:textId="77777777" w:rsidTr="00762A8D">
        <w:trPr>
          <w:trHeight w:val="1800"/>
        </w:trPr>
        <w:tc>
          <w:tcPr>
            <w:tcW w:w="2720" w:type="dxa"/>
            <w:tcBorders>
              <w:top w:val="nil"/>
              <w:left w:val="nil"/>
              <w:bottom w:val="nil"/>
              <w:right w:val="nil"/>
            </w:tcBorders>
            <w:shd w:val="clear" w:color="auto" w:fill="auto"/>
            <w:noWrap/>
            <w:hideMark/>
          </w:tcPr>
          <w:p w14:paraId="7501CBEC" w14:textId="77777777" w:rsidR="00762A8D" w:rsidRPr="009B159C" w:rsidRDefault="00762A8D"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tcPr>
          <w:p w14:paraId="7738E810" w14:textId="4C227D4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c>
          <w:tcPr>
            <w:tcW w:w="2000" w:type="dxa"/>
            <w:tcBorders>
              <w:top w:val="nil"/>
              <w:left w:val="nil"/>
              <w:bottom w:val="nil"/>
              <w:right w:val="nil"/>
            </w:tcBorders>
            <w:shd w:val="clear" w:color="auto" w:fill="auto"/>
            <w:hideMark/>
          </w:tcPr>
          <w:p w14:paraId="4E5C8601" w14:textId="07FFB113"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762A8D" w:rsidRPr="009B159C" w14:paraId="75B9A6F8" w14:textId="77777777" w:rsidTr="00762A8D">
        <w:trPr>
          <w:trHeight w:val="900"/>
        </w:trPr>
        <w:tc>
          <w:tcPr>
            <w:tcW w:w="2720" w:type="dxa"/>
            <w:tcBorders>
              <w:top w:val="nil"/>
              <w:left w:val="nil"/>
              <w:bottom w:val="nil"/>
              <w:right w:val="nil"/>
            </w:tcBorders>
            <w:shd w:val="clear" w:color="auto" w:fill="auto"/>
            <w:noWrap/>
            <w:hideMark/>
          </w:tcPr>
          <w:p w14:paraId="34B6C22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tcPr>
          <w:p w14:paraId="6C3BE9C0" w14:textId="622C64B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c>
          <w:tcPr>
            <w:tcW w:w="2000" w:type="dxa"/>
            <w:tcBorders>
              <w:top w:val="nil"/>
              <w:left w:val="nil"/>
              <w:bottom w:val="nil"/>
              <w:right w:val="nil"/>
            </w:tcBorders>
            <w:shd w:val="clear" w:color="auto" w:fill="auto"/>
            <w:noWrap/>
            <w:hideMark/>
          </w:tcPr>
          <w:p w14:paraId="260D0A34" w14:textId="5D2B9690"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762A8D" w:rsidRPr="009B159C" w14:paraId="3BA6F2E7" w14:textId="77777777" w:rsidTr="00762A8D">
        <w:trPr>
          <w:trHeight w:val="300"/>
        </w:trPr>
        <w:tc>
          <w:tcPr>
            <w:tcW w:w="2720" w:type="dxa"/>
            <w:tcBorders>
              <w:top w:val="nil"/>
              <w:left w:val="nil"/>
              <w:bottom w:val="nil"/>
              <w:right w:val="nil"/>
            </w:tcBorders>
            <w:shd w:val="clear" w:color="auto" w:fill="auto"/>
            <w:noWrap/>
            <w:hideMark/>
          </w:tcPr>
          <w:p w14:paraId="6E476CE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tcPr>
          <w:p w14:paraId="39858625" w14:textId="5C2046C6"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c>
          <w:tcPr>
            <w:tcW w:w="2000" w:type="dxa"/>
            <w:tcBorders>
              <w:top w:val="nil"/>
              <w:left w:val="nil"/>
              <w:bottom w:val="nil"/>
              <w:right w:val="nil"/>
            </w:tcBorders>
            <w:shd w:val="clear" w:color="auto" w:fill="auto"/>
            <w:noWrap/>
            <w:hideMark/>
          </w:tcPr>
          <w:p w14:paraId="72AA1D1C" w14:textId="518369FA"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762A8D" w:rsidRPr="009B159C" w14:paraId="64F1104E" w14:textId="77777777" w:rsidTr="00762A8D">
        <w:trPr>
          <w:trHeight w:val="600"/>
        </w:trPr>
        <w:tc>
          <w:tcPr>
            <w:tcW w:w="2720" w:type="dxa"/>
            <w:tcBorders>
              <w:top w:val="nil"/>
              <w:left w:val="nil"/>
              <w:bottom w:val="nil"/>
              <w:right w:val="nil"/>
            </w:tcBorders>
            <w:shd w:val="clear" w:color="auto" w:fill="auto"/>
            <w:noWrap/>
            <w:hideMark/>
          </w:tcPr>
          <w:p w14:paraId="0EC150E7"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tcPr>
          <w:p w14:paraId="6215B382" w14:textId="5D47FDA8"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c>
          <w:tcPr>
            <w:tcW w:w="2000" w:type="dxa"/>
            <w:tcBorders>
              <w:top w:val="nil"/>
              <w:left w:val="nil"/>
              <w:bottom w:val="nil"/>
              <w:right w:val="nil"/>
            </w:tcBorders>
            <w:shd w:val="clear" w:color="auto" w:fill="auto"/>
            <w:noWrap/>
            <w:hideMark/>
          </w:tcPr>
          <w:p w14:paraId="0223EF19" w14:textId="5278099D"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762A8D" w:rsidRPr="009B159C" w14:paraId="118763A7" w14:textId="77777777" w:rsidTr="00762A8D">
        <w:trPr>
          <w:trHeight w:val="1500"/>
        </w:trPr>
        <w:tc>
          <w:tcPr>
            <w:tcW w:w="2720" w:type="dxa"/>
            <w:tcBorders>
              <w:top w:val="nil"/>
              <w:left w:val="nil"/>
              <w:bottom w:val="nil"/>
              <w:right w:val="nil"/>
            </w:tcBorders>
            <w:shd w:val="clear" w:color="auto" w:fill="auto"/>
            <w:noWrap/>
            <w:hideMark/>
          </w:tcPr>
          <w:p w14:paraId="0F0B7CF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tcPr>
          <w:p w14:paraId="5C7971D9" w14:textId="2DDB0D2B"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c>
          <w:tcPr>
            <w:tcW w:w="2000" w:type="dxa"/>
            <w:tcBorders>
              <w:top w:val="nil"/>
              <w:left w:val="nil"/>
              <w:bottom w:val="nil"/>
              <w:right w:val="nil"/>
            </w:tcBorders>
            <w:shd w:val="clear" w:color="auto" w:fill="auto"/>
            <w:hideMark/>
          </w:tcPr>
          <w:p w14:paraId="0F84807A" w14:textId="75947C82"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762A8D" w:rsidRPr="009B159C" w14:paraId="4945B150" w14:textId="77777777" w:rsidTr="00762A8D">
        <w:trPr>
          <w:trHeight w:val="1143"/>
        </w:trPr>
        <w:tc>
          <w:tcPr>
            <w:tcW w:w="2720" w:type="dxa"/>
            <w:tcBorders>
              <w:top w:val="nil"/>
              <w:left w:val="nil"/>
              <w:bottom w:val="nil"/>
              <w:right w:val="nil"/>
            </w:tcBorders>
            <w:shd w:val="clear" w:color="auto" w:fill="auto"/>
            <w:noWrap/>
            <w:hideMark/>
          </w:tcPr>
          <w:p w14:paraId="1206C14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tcPr>
          <w:p w14:paraId="4C19D79A" w14:textId="4794FD1E"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c>
          <w:tcPr>
            <w:tcW w:w="2000" w:type="dxa"/>
            <w:tcBorders>
              <w:top w:val="nil"/>
              <w:left w:val="nil"/>
              <w:bottom w:val="nil"/>
              <w:right w:val="nil"/>
            </w:tcBorders>
            <w:shd w:val="clear" w:color="auto" w:fill="auto"/>
            <w:hideMark/>
          </w:tcPr>
          <w:p w14:paraId="6E9BE26A" w14:textId="3A117DF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762A8D" w:rsidRPr="009B159C" w14:paraId="1687A03C" w14:textId="77777777" w:rsidTr="00762A8D">
        <w:trPr>
          <w:trHeight w:val="1200"/>
        </w:trPr>
        <w:tc>
          <w:tcPr>
            <w:tcW w:w="2720" w:type="dxa"/>
            <w:tcBorders>
              <w:top w:val="nil"/>
              <w:left w:val="nil"/>
              <w:bottom w:val="single" w:sz="4" w:space="0" w:color="auto"/>
              <w:right w:val="nil"/>
            </w:tcBorders>
            <w:shd w:val="clear" w:color="auto" w:fill="auto"/>
            <w:hideMark/>
          </w:tcPr>
          <w:p w14:paraId="11B03118" w14:textId="5C2E244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tcPr>
          <w:p w14:paraId="08232770" w14:textId="39BF413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c>
          <w:tcPr>
            <w:tcW w:w="2000" w:type="dxa"/>
            <w:tcBorders>
              <w:top w:val="nil"/>
              <w:left w:val="nil"/>
              <w:bottom w:val="single" w:sz="4" w:space="0" w:color="auto"/>
              <w:right w:val="nil"/>
            </w:tcBorders>
            <w:shd w:val="clear" w:color="auto" w:fill="auto"/>
            <w:hideMark/>
          </w:tcPr>
          <w:p w14:paraId="60641500" w14:textId="1671003F"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 xml:space="preserve">57.1% spot rows, </w:t>
            </w:r>
            <w:r w:rsidRPr="009B159C">
              <w:rPr>
                <w:rFonts w:ascii="Times New Roman" w:eastAsia="Times New Roman" w:hAnsi="Times New Roman" w:cs="Times New Roman"/>
                <w:color w:val="000000"/>
              </w:rPr>
              <w:br/>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4000" w:type="dxa"/>
        <w:tblInd w:w="93" w:type="dxa"/>
        <w:tblLook w:val="04A0" w:firstRow="1" w:lastRow="0" w:firstColumn="1" w:lastColumn="0" w:noHBand="0" w:noVBand="1"/>
      </w:tblPr>
      <w:tblGrid>
        <w:gridCol w:w="1980"/>
        <w:gridCol w:w="2020"/>
      </w:tblGrid>
      <w:tr w:rsidR="00762A8D" w:rsidRPr="009B159C" w14:paraId="72E523A1" w14:textId="49A4AB20" w:rsidTr="00762A8D">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762A8D" w:rsidRPr="009B159C" w:rsidRDefault="00762A8D" w:rsidP="006B7814">
            <w:pPr>
              <w:spacing w:line="480" w:lineRule="auto"/>
              <w:rPr>
                <w:rFonts w:ascii="Times New Roman" w:eastAsia="Times New Roman" w:hAnsi="Times New Roman" w:cs="Times New Roman"/>
                <w:i/>
                <w:iCs/>
                <w:color w:val="000000"/>
              </w:rPr>
            </w:pPr>
            <w:bookmarkStart w:id="1" w:name="_GoBack"/>
            <w:bookmarkEnd w:id="1"/>
            <w:proofErr w:type="spellStart"/>
            <w:proofErr w:type="gramStart"/>
            <w:r w:rsidRPr="009B159C">
              <w:rPr>
                <w:rFonts w:ascii="Times New Roman" w:eastAsia="Times New Roman" w:hAnsi="Times New Roman" w:cs="Times New Roman"/>
                <w:i/>
                <w:iCs/>
                <w:color w:val="000000"/>
              </w:rPr>
              <w:t>similis</w:t>
            </w:r>
            <w:proofErr w:type="spellEnd"/>
            <w:proofErr w:type="gramEnd"/>
          </w:p>
        </w:tc>
      </w:tr>
      <w:tr w:rsidR="00762A8D" w:rsidRPr="009B159C" w14:paraId="1ACD0D57" w14:textId="0B23FD29" w:rsidTr="00762A8D">
        <w:trPr>
          <w:trHeight w:val="300"/>
        </w:trPr>
        <w:tc>
          <w:tcPr>
            <w:tcW w:w="1980" w:type="dxa"/>
            <w:tcBorders>
              <w:top w:val="nil"/>
              <w:left w:val="nil"/>
              <w:bottom w:val="nil"/>
              <w:right w:val="nil"/>
            </w:tcBorders>
            <w:shd w:val="clear" w:color="auto" w:fill="auto"/>
            <w:noWrap/>
            <w:hideMark/>
          </w:tcPr>
          <w:p w14:paraId="5B94D118" w14:textId="78DB858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r>
      <w:tr w:rsidR="00762A8D" w:rsidRPr="009B159C" w14:paraId="7FE24B3F" w14:textId="52AC188F" w:rsidTr="00762A8D">
        <w:trPr>
          <w:trHeight w:val="600"/>
        </w:trPr>
        <w:tc>
          <w:tcPr>
            <w:tcW w:w="1980" w:type="dxa"/>
            <w:tcBorders>
              <w:top w:val="nil"/>
              <w:left w:val="nil"/>
              <w:bottom w:val="nil"/>
              <w:right w:val="nil"/>
            </w:tcBorders>
            <w:shd w:val="clear" w:color="auto" w:fill="auto"/>
            <w:noWrap/>
            <w:hideMark/>
          </w:tcPr>
          <w:p w14:paraId="4785924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r>
      <w:tr w:rsidR="00762A8D" w:rsidRPr="009B159C" w14:paraId="0419F746" w14:textId="6F021765" w:rsidTr="00762A8D">
        <w:trPr>
          <w:trHeight w:val="300"/>
        </w:trPr>
        <w:tc>
          <w:tcPr>
            <w:tcW w:w="1980" w:type="dxa"/>
            <w:tcBorders>
              <w:top w:val="nil"/>
              <w:left w:val="nil"/>
              <w:bottom w:val="nil"/>
              <w:right w:val="nil"/>
            </w:tcBorders>
            <w:shd w:val="clear" w:color="auto" w:fill="auto"/>
            <w:noWrap/>
            <w:hideMark/>
          </w:tcPr>
          <w:p w14:paraId="276DBE41"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762A8D" w:rsidRPr="009B159C" w14:paraId="655A439D" w14:textId="797800F5" w:rsidTr="00762A8D">
        <w:trPr>
          <w:trHeight w:val="600"/>
        </w:trPr>
        <w:tc>
          <w:tcPr>
            <w:tcW w:w="1980" w:type="dxa"/>
            <w:tcBorders>
              <w:top w:val="nil"/>
              <w:left w:val="nil"/>
              <w:bottom w:val="nil"/>
              <w:right w:val="nil"/>
            </w:tcBorders>
            <w:shd w:val="clear" w:color="auto" w:fill="auto"/>
            <w:hideMark/>
          </w:tcPr>
          <w:p w14:paraId="732FDA5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762A8D" w:rsidRPr="009B159C" w14:paraId="442E92AE" w14:textId="55BF8FD4" w:rsidTr="00762A8D">
        <w:trPr>
          <w:trHeight w:val="1800"/>
        </w:trPr>
        <w:tc>
          <w:tcPr>
            <w:tcW w:w="1980" w:type="dxa"/>
            <w:tcBorders>
              <w:top w:val="nil"/>
              <w:left w:val="nil"/>
              <w:bottom w:val="nil"/>
              <w:right w:val="nil"/>
            </w:tcBorders>
            <w:shd w:val="clear" w:color="auto" w:fill="auto"/>
            <w:hideMark/>
          </w:tcPr>
          <w:p w14:paraId="52E0C7A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r>
      <w:tr w:rsidR="00762A8D" w:rsidRPr="009B159C" w14:paraId="24F7D4A4" w14:textId="0C6C5DBE" w:rsidTr="00762A8D">
        <w:trPr>
          <w:trHeight w:val="900"/>
        </w:trPr>
        <w:tc>
          <w:tcPr>
            <w:tcW w:w="1980" w:type="dxa"/>
            <w:tcBorders>
              <w:top w:val="nil"/>
              <w:left w:val="nil"/>
              <w:bottom w:val="nil"/>
              <w:right w:val="nil"/>
            </w:tcBorders>
            <w:shd w:val="clear" w:color="auto" w:fill="auto"/>
            <w:hideMark/>
          </w:tcPr>
          <w:p w14:paraId="49BDEDC2"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r>
      <w:tr w:rsidR="00762A8D" w:rsidRPr="009B159C" w14:paraId="49F4CFA4" w14:textId="3835F9E0" w:rsidTr="00762A8D">
        <w:trPr>
          <w:trHeight w:val="300"/>
        </w:trPr>
        <w:tc>
          <w:tcPr>
            <w:tcW w:w="1980" w:type="dxa"/>
            <w:tcBorders>
              <w:top w:val="nil"/>
              <w:left w:val="nil"/>
              <w:bottom w:val="nil"/>
              <w:right w:val="nil"/>
            </w:tcBorders>
            <w:shd w:val="clear" w:color="auto" w:fill="auto"/>
            <w:noWrap/>
            <w:hideMark/>
          </w:tcPr>
          <w:p w14:paraId="52A55DB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762A8D" w:rsidRPr="009B159C" w14:paraId="407BCCAB" w14:textId="1E323060" w:rsidTr="00762A8D">
        <w:trPr>
          <w:trHeight w:val="600"/>
        </w:trPr>
        <w:tc>
          <w:tcPr>
            <w:tcW w:w="1980" w:type="dxa"/>
            <w:tcBorders>
              <w:top w:val="nil"/>
              <w:left w:val="nil"/>
              <w:bottom w:val="nil"/>
              <w:right w:val="nil"/>
            </w:tcBorders>
            <w:shd w:val="clear" w:color="auto" w:fill="auto"/>
            <w:hideMark/>
          </w:tcPr>
          <w:p w14:paraId="4FCEA55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r>
      <w:tr w:rsidR="00762A8D" w:rsidRPr="009B159C" w14:paraId="5B8C4BE3" w14:textId="0D015161" w:rsidTr="00762A8D">
        <w:trPr>
          <w:trHeight w:val="1500"/>
        </w:trPr>
        <w:tc>
          <w:tcPr>
            <w:tcW w:w="1980" w:type="dxa"/>
            <w:tcBorders>
              <w:top w:val="nil"/>
              <w:left w:val="nil"/>
              <w:bottom w:val="nil"/>
              <w:right w:val="nil"/>
            </w:tcBorders>
            <w:shd w:val="clear" w:color="auto" w:fill="auto"/>
            <w:hideMark/>
          </w:tcPr>
          <w:p w14:paraId="6867A31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r>
      <w:tr w:rsidR="00762A8D" w:rsidRPr="009B159C" w14:paraId="787E2E5F" w14:textId="1BF8CC98" w:rsidTr="00762A8D">
        <w:trPr>
          <w:trHeight w:val="1800"/>
        </w:trPr>
        <w:tc>
          <w:tcPr>
            <w:tcW w:w="1980" w:type="dxa"/>
            <w:tcBorders>
              <w:top w:val="nil"/>
              <w:left w:val="nil"/>
              <w:bottom w:val="nil"/>
              <w:right w:val="nil"/>
            </w:tcBorders>
            <w:shd w:val="clear" w:color="auto" w:fill="auto"/>
            <w:hideMark/>
          </w:tcPr>
          <w:p w14:paraId="30482CE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r>
      <w:tr w:rsidR="00762A8D" w:rsidRPr="009B159C" w14:paraId="11BEBAC2" w14:textId="18E0A560" w:rsidTr="00762A8D">
        <w:trPr>
          <w:trHeight w:val="1200"/>
        </w:trPr>
        <w:tc>
          <w:tcPr>
            <w:tcW w:w="1980" w:type="dxa"/>
            <w:tcBorders>
              <w:top w:val="nil"/>
              <w:left w:val="nil"/>
              <w:bottom w:val="single" w:sz="4" w:space="0" w:color="auto"/>
              <w:right w:val="nil"/>
            </w:tcBorders>
            <w:shd w:val="clear" w:color="auto" w:fill="auto"/>
            <w:hideMark/>
          </w:tcPr>
          <w:p w14:paraId="1BC5E84D"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Iskandar);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674FB2" w:rsidRDefault="00674FB2">
      <w:r>
        <w:separator/>
      </w:r>
    </w:p>
  </w:endnote>
  <w:endnote w:type="continuationSeparator" w:id="0">
    <w:p w14:paraId="225F3888" w14:textId="77777777" w:rsidR="00674FB2" w:rsidRDefault="0067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674FB2" w:rsidRDefault="00674F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674FB2" w:rsidRDefault="00674F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674FB2" w:rsidRDefault="00674F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674FB2" w:rsidRDefault="00674FB2">
      <w:r>
        <w:separator/>
      </w:r>
    </w:p>
  </w:footnote>
  <w:footnote w:type="continuationSeparator" w:id="0">
    <w:p w14:paraId="47EB270F" w14:textId="77777777" w:rsidR="00674FB2" w:rsidRDefault="00674FB2">
      <w:r>
        <w:continuationSeparator/>
      </w:r>
    </w:p>
  </w:footnote>
  <w:footnote w:id="1">
    <w:p w14:paraId="1FF048B7" w14:textId="2CFFA66A" w:rsidR="00674FB2" w:rsidRDefault="00674FB2"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674FB2" w:rsidRDefault="00674F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674FB2" w:rsidRDefault="00674FB2" w:rsidP="00EB498A">
    <w:pPr>
      <w:pStyle w:val="DefaultStyle"/>
      <w:jc w:val="right"/>
    </w:pPr>
    <w:r>
      <w:fldChar w:fldCharType="begin"/>
    </w:r>
    <w:r>
      <w:instrText>PAGE</w:instrText>
    </w:r>
    <w:r>
      <w:fldChar w:fldCharType="separate"/>
    </w:r>
    <w:r w:rsidR="00762A8D">
      <w:rPr>
        <w:noProof/>
      </w:rPr>
      <w:t>34</w:t>
    </w:r>
    <w:r>
      <w:fldChar w:fldCharType="end"/>
    </w:r>
  </w:p>
  <w:p w14:paraId="1C343EC9" w14:textId="200A643C" w:rsidR="00674FB2" w:rsidRDefault="00674FB2">
    <w:pPr>
      <w:pStyle w:val="Header"/>
      <w:ind w:right="360"/>
    </w:pPr>
    <w:r>
      <w:tab/>
    </w:r>
    <w:r>
      <w:tab/>
      <w:t xml:space="preserve">Chan et al. </w:t>
    </w:r>
  </w:p>
  <w:p w14:paraId="4CE15A9A" w14:textId="2BBE346C" w:rsidR="00674FB2" w:rsidRDefault="00674FB2"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674FB2" w:rsidRDefault="00674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2BF4"/>
    <w:rsid w:val="00084C67"/>
    <w:rsid w:val="000872F6"/>
    <w:rsid w:val="0009394D"/>
    <w:rsid w:val="000C1133"/>
    <w:rsid w:val="000E4399"/>
    <w:rsid w:val="001110BC"/>
    <w:rsid w:val="00143DFB"/>
    <w:rsid w:val="00177342"/>
    <w:rsid w:val="001A3D27"/>
    <w:rsid w:val="001F3729"/>
    <w:rsid w:val="00200961"/>
    <w:rsid w:val="00232320"/>
    <w:rsid w:val="00235B00"/>
    <w:rsid w:val="002712E3"/>
    <w:rsid w:val="00273092"/>
    <w:rsid w:val="00282135"/>
    <w:rsid w:val="00293537"/>
    <w:rsid w:val="002C23CD"/>
    <w:rsid w:val="002C2E28"/>
    <w:rsid w:val="0033499B"/>
    <w:rsid w:val="0038502A"/>
    <w:rsid w:val="00437CD8"/>
    <w:rsid w:val="00452A5F"/>
    <w:rsid w:val="00467287"/>
    <w:rsid w:val="0047593B"/>
    <w:rsid w:val="00476442"/>
    <w:rsid w:val="004F5ECF"/>
    <w:rsid w:val="00501524"/>
    <w:rsid w:val="00510D70"/>
    <w:rsid w:val="00514466"/>
    <w:rsid w:val="00533A04"/>
    <w:rsid w:val="00583D50"/>
    <w:rsid w:val="005B388D"/>
    <w:rsid w:val="005D5F87"/>
    <w:rsid w:val="005E19E8"/>
    <w:rsid w:val="005E603B"/>
    <w:rsid w:val="005E6E97"/>
    <w:rsid w:val="005F46C9"/>
    <w:rsid w:val="00646214"/>
    <w:rsid w:val="00652013"/>
    <w:rsid w:val="00674FB2"/>
    <w:rsid w:val="006B580D"/>
    <w:rsid w:val="006B7814"/>
    <w:rsid w:val="006E46EE"/>
    <w:rsid w:val="006E6E9D"/>
    <w:rsid w:val="00716C13"/>
    <w:rsid w:val="0072431C"/>
    <w:rsid w:val="00744775"/>
    <w:rsid w:val="00754605"/>
    <w:rsid w:val="00762A8D"/>
    <w:rsid w:val="007E57C0"/>
    <w:rsid w:val="00815A8A"/>
    <w:rsid w:val="00816DDA"/>
    <w:rsid w:val="00821032"/>
    <w:rsid w:val="00842D19"/>
    <w:rsid w:val="008676A4"/>
    <w:rsid w:val="00894EE4"/>
    <w:rsid w:val="00904CDC"/>
    <w:rsid w:val="009903D7"/>
    <w:rsid w:val="009A64AD"/>
    <w:rsid w:val="009B159C"/>
    <w:rsid w:val="009B2B3A"/>
    <w:rsid w:val="009C4FB5"/>
    <w:rsid w:val="009D1D25"/>
    <w:rsid w:val="009D6253"/>
    <w:rsid w:val="00A541C7"/>
    <w:rsid w:val="00A9789A"/>
    <w:rsid w:val="00AA6D15"/>
    <w:rsid w:val="00AB03BB"/>
    <w:rsid w:val="00AC5CA5"/>
    <w:rsid w:val="00AE487D"/>
    <w:rsid w:val="00B05959"/>
    <w:rsid w:val="00B41217"/>
    <w:rsid w:val="00B4478E"/>
    <w:rsid w:val="00B75471"/>
    <w:rsid w:val="00BC53F5"/>
    <w:rsid w:val="00C147DA"/>
    <w:rsid w:val="00C546F0"/>
    <w:rsid w:val="00C8555C"/>
    <w:rsid w:val="00CA6D03"/>
    <w:rsid w:val="00CB392A"/>
    <w:rsid w:val="00CB46EE"/>
    <w:rsid w:val="00CD430D"/>
    <w:rsid w:val="00CE132D"/>
    <w:rsid w:val="00D00105"/>
    <w:rsid w:val="00D02364"/>
    <w:rsid w:val="00D036F7"/>
    <w:rsid w:val="00D0490E"/>
    <w:rsid w:val="00D05381"/>
    <w:rsid w:val="00D2524F"/>
    <w:rsid w:val="00D343E0"/>
    <w:rsid w:val="00D627CB"/>
    <w:rsid w:val="00D75BC5"/>
    <w:rsid w:val="00D912DD"/>
    <w:rsid w:val="00DA7BCA"/>
    <w:rsid w:val="00DA7C18"/>
    <w:rsid w:val="00DD1E72"/>
    <w:rsid w:val="00E1181C"/>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34</Pages>
  <Words>6396</Words>
  <Characters>36461</Characters>
  <Application>Microsoft Macintosh Word</Application>
  <DocSecurity>0</DocSecurity>
  <Lines>303</Lines>
  <Paragraphs>85</Paragraphs>
  <ScaleCrop>false</ScaleCrop>
  <Company/>
  <LinksUpToDate>false</LinksUpToDate>
  <CharactersWithSpaces>42772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85</cp:revision>
  <cp:lastPrinted>2013-06-11T18:26:00Z</cp:lastPrinted>
  <dcterms:created xsi:type="dcterms:W3CDTF">2013-06-11T19:17:00Z</dcterms:created>
  <dcterms:modified xsi:type="dcterms:W3CDTF">2013-10-18T20:45:00Z</dcterms:modified>
</cp:coreProperties>
</file>