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5A0C" w:rsidRDefault="006E5A0C" w:rsidP="006E5A0C">
      <w:pPr>
        <w:pStyle w:val="NormalWeb"/>
        <w:jc w:val="both"/>
      </w:pPr>
      <w:r>
        <w:t>By embedding AI into each D</w:t>
      </w:r>
      <w:bookmarkStart w:id="0" w:name="_GoBack"/>
      <w:bookmarkEnd w:id="0"/>
      <w:r>
        <w:t>ivision, the Department achieves:</w:t>
      </w:r>
    </w:p>
    <w:p w:rsidR="006E5A0C" w:rsidRDefault="006E5A0C" w:rsidP="006E5A0C">
      <w:pPr>
        <w:pStyle w:val="NormalWeb"/>
        <w:numPr>
          <w:ilvl w:val="0"/>
          <w:numId w:val="1"/>
        </w:numPr>
        <w:jc w:val="both"/>
      </w:pPr>
      <w:r>
        <w:rPr>
          <w:rStyle w:val="Strong"/>
        </w:rPr>
        <w:t>Efficiency gains</w:t>
      </w:r>
      <w:r>
        <w:t xml:space="preserve"> (automation of repetitive tasks)</w:t>
      </w:r>
    </w:p>
    <w:p w:rsidR="006E5A0C" w:rsidRDefault="006E5A0C" w:rsidP="006E5A0C">
      <w:pPr>
        <w:pStyle w:val="NormalWeb"/>
        <w:numPr>
          <w:ilvl w:val="0"/>
          <w:numId w:val="1"/>
        </w:numPr>
        <w:jc w:val="both"/>
      </w:pPr>
      <w:r>
        <w:rPr>
          <w:rStyle w:val="Strong"/>
        </w:rPr>
        <w:t>Accuracy improvements</w:t>
      </w:r>
      <w:r>
        <w:t xml:space="preserve"> (error reduction in contracts, compliance, and reporting)</w:t>
      </w:r>
    </w:p>
    <w:p w:rsidR="006E5A0C" w:rsidRDefault="006E5A0C" w:rsidP="006E5A0C">
      <w:pPr>
        <w:pStyle w:val="NormalWeb"/>
        <w:numPr>
          <w:ilvl w:val="0"/>
          <w:numId w:val="1"/>
        </w:numPr>
        <w:jc w:val="both"/>
      </w:pPr>
      <w:r>
        <w:rPr>
          <w:rStyle w:val="Strong"/>
        </w:rPr>
        <w:t>Predictive insights</w:t>
      </w:r>
      <w:r>
        <w:t xml:space="preserve"> (litigation outcomes, dispute risks, workload forecasts)</w:t>
      </w:r>
    </w:p>
    <w:p w:rsidR="006E5A0C" w:rsidRDefault="006E5A0C" w:rsidP="006E5A0C">
      <w:pPr>
        <w:pStyle w:val="NormalWeb"/>
        <w:numPr>
          <w:ilvl w:val="0"/>
          <w:numId w:val="1"/>
        </w:numPr>
        <w:jc w:val="both"/>
      </w:pPr>
      <w:r>
        <w:rPr>
          <w:rStyle w:val="Strong"/>
        </w:rPr>
        <w:t>Enhanced governance</w:t>
      </w:r>
      <w:r>
        <w:t xml:space="preserve"> (data-driven board decisions, transparent compliance tracking)</w:t>
      </w:r>
    </w:p>
    <w:p w:rsidR="006E5A0C" w:rsidRDefault="006E5A0C" w:rsidP="006E5A0C">
      <w:pPr>
        <w:pStyle w:val="NormalWeb"/>
        <w:numPr>
          <w:ilvl w:val="0"/>
          <w:numId w:val="1"/>
        </w:numPr>
        <w:jc w:val="both"/>
      </w:pPr>
      <w:r>
        <w:rPr>
          <w:rStyle w:val="Strong"/>
        </w:rPr>
        <w:t>Better stakeholder trust</w:t>
      </w:r>
      <w:r>
        <w:t xml:space="preserve"> (faster, fairer dispute resolution and reliable outputs)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1"/>
        <w:gridCol w:w="45"/>
      </w:tblGrid>
      <w:tr w:rsidR="00415672" w:rsidRPr="00415672" w:rsidTr="00415672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415672" w:rsidRPr="00415672" w:rsidRDefault="00415672" w:rsidP="00415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6E5A0C" w:rsidRPr="006E5A0C" w:rsidTr="006E5A0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0"/>
              <w:gridCol w:w="2577"/>
              <w:gridCol w:w="2410"/>
              <w:gridCol w:w="2069"/>
            </w:tblGrid>
            <w:tr w:rsidR="006E5A0C" w:rsidRPr="006E5A0C" w:rsidTr="006E5A0C">
              <w:trPr>
                <w:tblHeader/>
                <w:tblCellSpacing w:w="15" w:type="dxa"/>
              </w:trPr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Division</w:t>
                  </w:r>
                </w:p>
              </w:tc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Key Workflow Items</w:t>
                  </w:r>
                </w:p>
              </w:tc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AI Integration</w:t>
                  </w:r>
                </w:p>
              </w:tc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Outcome &amp; Benefits</w:t>
                  </w:r>
                </w:p>
              </w:tc>
            </w:tr>
            <w:tr w:rsidR="006E5A0C" w:rsidRPr="006E5A0C" w:rsidTr="006E5A0C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Operations</w:t>
                  </w:r>
                </w:p>
              </w:tc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- Case intake &amp; assignment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Process &amp; timeline management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Compliance monitoring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Documentation control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Performance reporting</w:t>
                  </w:r>
                </w:p>
              </w:tc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- AI-powered case triage &amp; routing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Automated compliance alerts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Intelligent document indexing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Predictive workload analytics</w:t>
                  </w:r>
                </w:p>
              </w:tc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- Faster case allocation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Reduced missed deadlines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Streamlined record-keeping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Data-driven performance insights</w:t>
                  </w:r>
                </w:p>
              </w:tc>
            </w:tr>
            <w:tr w:rsidR="006E5A0C" w:rsidRPr="006E5A0C" w:rsidTr="006E5A0C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Board Services</w:t>
                  </w:r>
                </w:p>
              </w:tc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- Secretariat support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Minutes &amp; resolutions drafting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Governance compliance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Stakeholder communication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Policy advisory</w:t>
                  </w:r>
                </w:p>
              </w:tc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- AI-assisted agenda generation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Real-time transcription &amp; summarization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Governance risk dashboards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Policy impact simulations</w:t>
                  </w:r>
                </w:p>
              </w:tc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- Efficient board prep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Accurate, timely minutes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Enhanced governance oversight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Evidence-based policy decisions</w:t>
                  </w:r>
                </w:p>
              </w:tc>
            </w:tr>
            <w:tr w:rsidR="006E5A0C" w:rsidRPr="006E5A0C" w:rsidTr="006E5A0C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Conveyancing</w:t>
                  </w:r>
                </w:p>
              </w:tc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- Drafting/reviewing property contracts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Title verification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Contract management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Regulatory compliance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Risk mitigation</w:t>
                  </w:r>
                </w:p>
              </w:tc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- AI-driven contract clause analysis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Automated land registry checks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Smart compliance checklists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Risk scoring models</w:t>
                  </w:r>
                </w:p>
              </w:tc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- Reduced contract errors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Faster property due diligence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Stronger compliance assurance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Lower transaction risks</w:t>
                  </w:r>
                </w:p>
              </w:tc>
            </w:tr>
            <w:tr w:rsidR="006E5A0C" w:rsidRPr="006E5A0C" w:rsidTr="006E5A0C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Legal Research</w:t>
                  </w:r>
                </w:p>
              </w:tc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- Statutory interpretation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Drafting legal opinions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Monitoring case law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Knowledge management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Litigation support</w:t>
                  </w:r>
                </w:p>
              </w:tc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- AI legal research engines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Natural language statute summarization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Predictive case outcome analytics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Smart repositories with semantic search</w:t>
                  </w:r>
                </w:p>
              </w:tc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- Rapid access to precedents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Clearer legal opinions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Stronger litigation strategies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Institutional knowledge retention</w:t>
                  </w:r>
                </w:p>
              </w:tc>
            </w:tr>
            <w:tr w:rsidR="006E5A0C" w:rsidRPr="006E5A0C" w:rsidTr="006E5A0C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t>Litigation</w:t>
                  </w:r>
                </w:p>
              </w:tc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- Case preparation &amp; filing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Representation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lastRenderedPageBreak/>
                    <w:t>- Evidence management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Strategy development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Monitoring outcomes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Stakeholder engagement</w:t>
                  </w:r>
                </w:p>
              </w:tc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lastRenderedPageBreak/>
                    <w:t>- AI-assisted evidence tagging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 xml:space="preserve">- Predictive litigation 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lastRenderedPageBreak/>
                    <w:t xml:space="preserve">outcome </w:t>
                  </w:r>
                  <w:proofErr w:type="spellStart"/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modeling</w:t>
                  </w:r>
                  <w:proofErr w:type="spellEnd"/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Automated pleadings drafting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Real-time precedent analytics</w:t>
                  </w:r>
                </w:p>
              </w:tc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lastRenderedPageBreak/>
                    <w:t>- Faster case prep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Stronger litigation strategies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lastRenderedPageBreak/>
                    <w:t>- Reduced manual workload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Improved success rates</w:t>
                  </w:r>
                </w:p>
              </w:tc>
            </w:tr>
            <w:tr w:rsidR="006E5A0C" w:rsidRPr="006E5A0C" w:rsidTr="006E5A0C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GB"/>
                    </w:rPr>
                    <w:lastRenderedPageBreak/>
                    <w:t>Tax Dispute Resolution</w:t>
                  </w:r>
                </w:p>
              </w:tc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- Handling objections &amp; appeals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ADR facilitation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Negotiation &amp; settlement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Advisory on enforcement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Risk reduction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Stakeholder engagement</w:t>
                  </w:r>
                </w:p>
              </w:tc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- AI-driven dispute pattern recognition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Automated objection tracking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Smart negotiation support tools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Risk forecasting models</w:t>
                  </w:r>
                </w:p>
              </w:tc>
              <w:tc>
                <w:tcPr>
                  <w:tcW w:w="0" w:type="auto"/>
                  <w:hideMark/>
                </w:tcPr>
                <w:p w:rsidR="006E5A0C" w:rsidRPr="006E5A0C" w:rsidRDefault="006E5A0C" w:rsidP="006E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t>- Faster dispute resolution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Reduced backlog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Improved taxpayer relations</w:t>
                  </w:r>
                  <w:r w:rsidRPr="006E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  <w:br/>
                    <w:t>- Lower exposure to adverse rulings</w:t>
                  </w:r>
                </w:p>
              </w:tc>
            </w:tr>
          </w:tbl>
          <w:p w:rsidR="006E5A0C" w:rsidRPr="006E5A0C" w:rsidRDefault="006E5A0C" w:rsidP="006E5A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6E5A0C" w:rsidRDefault="006E5A0C"/>
    <w:sectPr w:rsidR="006E5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D67D8"/>
    <w:multiLevelType w:val="multilevel"/>
    <w:tmpl w:val="16B8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672"/>
    <w:rsid w:val="00415672"/>
    <w:rsid w:val="006E5A0C"/>
    <w:rsid w:val="009B27A1"/>
    <w:rsid w:val="00B01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A3866"/>
  <w15:chartTrackingRefBased/>
  <w15:docId w15:val="{7ACA763D-84A0-447A-BB61-D6DA60855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156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5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7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8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VUNDI</dc:creator>
  <cp:keywords/>
  <dc:description/>
  <cp:lastModifiedBy>KELVIN VUNDI</cp:lastModifiedBy>
  <cp:revision>2</cp:revision>
  <dcterms:created xsi:type="dcterms:W3CDTF">2026-04-24T07:24:00Z</dcterms:created>
  <dcterms:modified xsi:type="dcterms:W3CDTF">2026-04-24T07:33:00Z</dcterms:modified>
</cp:coreProperties>
</file>