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0"/>
        </w:rPr>
        <w:t>Week 9 Model Explainer: Predictive Maintenance</w:t>
      </w:r>
    </w:p>
    <w:p>
      <w:r>
        <w:rPr>
          <w:color w:val="555555"/>
          <w:sz w:val="22"/>
        </w:rPr>
        <w:t>Predictive Intelligence &amp; Industrial Trust</w:t>
      </w:r>
    </w:p>
    <w:p>
      <w:pPr>
        <w:pStyle w:val="Heading1"/>
      </w:pPr>
      <w:r>
        <w:rPr>
          <w:rFonts w:ascii="Calibri" w:hAnsi="Calibri"/>
          <w:b/>
          <w:color w:val="2E74B5"/>
          <w:sz w:val="32"/>
        </w:rPr>
        <w:t>Executive Takeaway</w:t>
      </w:r>
    </w:p>
    <w:p>
      <w:pPr/>
      <w:r>
        <w:t>This lab simulates a maintenance setting where failures are rare: only 2.0% of equipment logs are failure events. The key lesson is that accuracy alone can hide missed failures, so the workflow emphasizes recall, precision-recall curves, and SHAP explanations operators can act on.</w:t>
      </w:r>
    </w:p>
    <w:p>
      <w:pPr>
        <w:pStyle w:val="Heading1"/>
      </w:pPr>
      <w:r>
        <w:rPr>
          <w:rFonts w:ascii="Calibri" w:hAnsi="Calibri"/>
          <w:b/>
          <w:color w:val="2E74B5"/>
          <w:sz w:val="32"/>
        </w:rPr>
        <w:t>Pipeline Summary</w:t>
      </w:r>
    </w:p>
    <w:p>
      <w:pPr>
        <w:pStyle w:val="ListBullet"/>
        <w:ind w:left="720" w:hanging="360"/>
      </w:pPr>
      <w:r>
        <w:t>Created 6,000 sensor records across 120 assets with an AI4I/C-MAPSS-style rare failure pattern.</w:t>
      </w:r>
    </w:p>
    <w:p>
      <w:pPr>
        <w:pStyle w:val="ListBullet"/>
        <w:ind w:left="720" w:hanging="360"/>
      </w:pPr>
      <w:r>
        <w:t>Applied Min-Max Scaling to normalize vibration, temperature, torque, pressure, wear, speed, and cycle signals.</w:t>
      </w:r>
    </w:p>
    <w:p>
      <w:pPr>
        <w:pStyle w:val="ListBullet"/>
        <w:ind w:left="720" w:hanging="360"/>
      </w:pPr>
      <w:r>
        <w:t>Used a leakage-aware split by asset group, so future assets do not sneak into model training.</w:t>
      </w:r>
    </w:p>
    <w:p>
      <w:pPr>
        <w:pStyle w:val="ListBullet"/>
        <w:ind w:left="720" w:hanging="360"/>
      </w:pPr>
      <w:r>
        <w:t>Compared a raw Random Forest baseline, SMOTE, XGBoost class weighting, a neural sequence proxy, and K-Means high-risk segmentation.</w:t>
      </w:r>
    </w:p>
    <w:p>
      <w:pPr>
        <w:pStyle w:val="Heading1"/>
      </w:pPr>
      <w:r>
        <w:rPr>
          <w:rFonts w:ascii="Calibri" w:hAnsi="Calibri"/>
          <w:b/>
          <w:color w:val="2E74B5"/>
          <w:sz w:val="32"/>
        </w:rPr>
        <w:t>Model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F2F4F7"/>
            <w:tcMar>
              <w:top w:w="80" w:type="dxa"/>
              <w:start w:w="120" w:type="dxa"/>
              <w:bottom w:w="80" w:type="dxa"/>
              <w:end w:w="120" w:type="dxa"/>
            </w:tcMar>
            <w:vAlign w:val="center"/>
          </w:tcPr>
          <w:p>
            <w:r>
              <w:rPr>
                <w:rFonts w:ascii="Calibri" w:hAnsi="Calibri"/>
                <w:b/>
              </w:rPr>
              <w:t>Model</w:t>
            </w:r>
          </w:p>
        </w:tc>
        <w:tc>
          <w:tcPr>
            <w:tcW w:type="dxa" w:w="1872"/>
            <w:shd w:fill="F2F4F7"/>
            <w:tcMar>
              <w:top w:w="80" w:type="dxa"/>
              <w:start w:w="120" w:type="dxa"/>
              <w:bottom w:w="80" w:type="dxa"/>
              <w:end w:w="120" w:type="dxa"/>
            </w:tcMar>
            <w:vAlign w:val="center"/>
          </w:tcPr>
          <w:p>
            <w:r>
              <w:rPr>
                <w:rFonts w:ascii="Calibri" w:hAnsi="Calibri"/>
                <w:b/>
              </w:rPr>
              <w:t>Accuracy</w:t>
            </w:r>
          </w:p>
        </w:tc>
        <w:tc>
          <w:tcPr>
            <w:tcW w:type="dxa" w:w="1872"/>
            <w:shd w:fill="F2F4F7"/>
            <w:tcMar>
              <w:top w:w="80" w:type="dxa"/>
              <w:start w:w="120" w:type="dxa"/>
              <w:bottom w:w="80" w:type="dxa"/>
              <w:end w:w="120" w:type="dxa"/>
            </w:tcMar>
            <w:vAlign w:val="center"/>
          </w:tcPr>
          <w:p>
            <w:r>
              <w:rPr>
                <w:rFonts w:ascii="Calibri" w:hAnsi="Calibri"/>
                <w:b/>
              </w:rPr>
              <w:t>Failure Recall</w:t>
            </w:r>
          </w:p>
        </w:tc>
        <w:tc>
          <w:tcPr>
            <w:tcW w:type="dxa" w:w="1872"/>
            <w:shd w:fill="F2F4F7"/>
            <w:tcMar>
              <w:top w:w="80" w:type="dxa"/>
              <w:start w:w="120" w:type="dxa"/>
              <w:bottom w:w="80" w:type="dxa"/>
              <w:end w:w="120" w:type="dxa"/>
            </w:tcMar>
            <w:vAlign w:val="center"/>
          </w:tcPr>
          <w:p>
            <w:r>
              <w:rPr>
                <w:rFonts w:ascii="Calibri" w:hAnsi="Calibri"/>
                <w:b/>
              </w:rPr>
              <w:t>Failure Precision</w:t>
            </w:r>
          </w:p>
        </w:tc>
        <w:tc>
          <w:tcPr>
            <w:tcW w:type="dxa" w:w="1872"/>
            <w:shd w:fill="F2F4F7"/>
            <w:tcMar>
              <w:top w:w="80" w:type="dxa"/>
              <w:start w:w="120" w:type="dxa"/>
              <w:bottom w:w="80" w:type="dxa"/>
              <w:end w:w="120" w:type="dxa"/>
            </w:tcMar>
            <w:vAlign w:val="center"/>
          </w:tcPr>
          <w:p>
            <w:r>
              <w:rPr>
                <w:rFonts w:ascii="Calibri" w:hAnsi="Calibri"/>
                <w:b/>
              </w:rPr>
              <w:t>Avg Precision</w:t>
            </w:r>
          </w:p>
        </w:tc>
      </w:tr>
      <w:tr>
        <w:tc>
          <w:tcPr>
            <w:tcW w:type="dxa" w:w="1872"/>
            <w:tcMar>
              <w:top w:w="80" w:type="dxa"/>
              <w:start w:w="120" w:type="dxa"/>
              <w:bottom w:w="80" w:type="dxa"/>
              <w:end w:w="120" w:type="dxa"/>
            </w:tcMar>
          </w:tcPr>
          <w:p>
            <w:r>
              <w:t>Baseline Random Forest</w:t>
            </w:r>
          </w:p>
        </w:tc>
        <w:tc>
          <w:tcPr>
            <w:tcW w:type="dxa" w:w="1872"/>
            <w:tcMar>
              <w:top w:w="80" w:type="dxa"/>
              <w:start w:w="120" w:type="dxa"/>
              <w:bottom w:w="80" w:type="dxa"/>
              <w:end w:w="120" w:type="dxa"/>
            </w:tcMar>
          </w:tcPr>
          <w:p>
            <w:r>
              <w:t>99.0%</w:t>
            </w:r>
          </w:p>
        </w:tc>
        <w:tc>
          <w:tcPr>
            <w:tcW w:type="dxa" w:w="1872"/>
            <w:tcMar>
              <w:top w:w="80" w:type="dxa"/>
              <w:start w:w="120" w:type="dxa"/>
              <w:bottom w:w="80" w:type="dxa"/>
              <w:end w:w="120" w:type="dxa"/>
            </w:tcMar>
          </w:tcPr>
          <w:p>
            <w:r>
              <w:t>65.4%</w:t>
            </w:r>
          </w:p>
        </w:tc>
        <w:tc>
          <w:tcPr>
            <w:tcW w:type="dxa" w:w="1872"/>
            <w:tcMar>
              <w:top w:w="80" w:type="dxa"/>
              <w:start w:w="120" w:type="dxa"/>
              <w:bottom w:w="80" w:type="dxa"/>
              <w:end w:w="120" w:type="dxa"/>
            </w:tcMar>
          </w:tcPr>
          <w:p>
            <w:r>
              <w:t>100.0%</w:t>
            </w:r>
          </w:p>
        </w:tc>
        <w:tc>
          <w:tcPr>
            <w:tcW w:type="dxa" w:w="1872"/>
            <w:tcMar>
              <w:top w:w="80" w:type="dxa"/>
              <w:start w:w="120" w:type="dxa"/>
              <w:bottom w:w="80" w:type="dxa"/>
              <w:end w:w="120" w:type="dxa"/>
            </w:tcMar>
          </w:tcPr>
          <w:p>
            <w:r>
              <w:t>0.877</w:t>
            </w:r>
          </w:p>
        </w:tc>
      </w:tr>
      <w:tr>
        <w:tc>
          <w:tcPr>
            <w:tcW w:type="dxa" w:w="1872"/>
            <w:tcMar>
              <w:top w:w="80" w:type="dxa"/>
              <w:start w:w="120" w:type="dxa"/>
              <w:bottom w:w="80" w:type="dxa"/>
              <w:end w:w="120" w:type="dxa"/>
            </w:tcMar>
          </w:tcPr>
          <w:p>
            <w:r>
              <w:t>Random Forest + SMOTE</w:t>
            </w:r>
          </w:p>
        </w:tc>
        <w:tc>
          <w:tcPr>
            <w:tcW w:type="dxa" w:w="1872"/>
            <w:tcMar>
              <w:top w:w="80" w:type="dxa"/>
              <w:start w:w="120" w:type="dxa"/>
              <w:bottom w:w="80" w:type="dxa"/>
              <w:end w:w="120" w:type="dxa"/>
            </w:tcMar>
          </w:tcPr>
          <w:p>
            <w:r>
              <w:t>98.4%</w:t>
            </w:r>
          </w:p>
        </w:tc>
        <w:tc>
          <w:tcPr>
            <w:tcW w:type="dxa" w:w="1872"/>
            <w:tcMar>
              <w:top w:w="80" w:type="dxa"/>
              <w:start w:w="120" w:type="dxa"/>
              <w:bottom w:w="80" w:type="dxa"/>
              <w:end w:w="120" w:type="dxa"/>
            </w:tcMar>
          </w:tcPr>
          <w:p>
            <w:r>
              <w:t>46.2%</w:t>
            </w:r>
          </w:p>
        </w:tc>
        <w:tc>
          <w:tcPr>
            <w:tcW w:type="dxa" w:w="1872"/>
            <w:tcMar>
              <w:top w:w="80" w:type="dxa"/>
              <w:start w:w="120" w:type="dxa"/>
              <w:bottom w:w="80" w:type="dxa"/>
              <w:end w:w="120" w:type="dxa"/>
            </w:tcMar>
          </w:tcPr>
          <w:p>
            <w:r>
              <w:t>100.0%</w:t>
            </w:r>
          </w:p>
        </w:tc>
        <w:tc>
          <w:tcPr>
            <w:tcW w:type="dxa" w:w="1872"/>
            <w:tcMar>
              <w:top w:w="80" w:type="dxa"/>
              <w:start w:w="120" w:type="dxa"/>
              <w:bottom w:w="80" w:type="dxa"/>
              <w:end w:w="120" w:type="dxa"/>
            </w:tcMar>
          </w:tcPr>
          <w:p>
            <w:r>
              <w:t>0.829</w:t>
            </w:r>
          </w:p>
        </w:tc>
      </w:tr>
      <w:tr>
        <w:tc>
          <w:tcPr>
            <w:tcW w:type="dxa" w:w="1872"/>
            <w:tcMar>
              <w:top w:w="80" w:type="dxa"/>
              <w:start w:w="120" w:type="dxa"/>
              <w:bottom w:w="80" w:type="dxa"/>
              <w:end w:w="120" w:type="dxa"/>
            </w:tcMar>
          </w:tcPr>
          <w:p>
            <w:r>
              <w:t>XGBoost + Class Weighting</w:t>
            </w:r>
          </w:p>
        </w:tc>
        <w:tc>
          <w:tcPr>
            <w:tcW w:type="dxa" w:w="1872"/>
            <w:tcMar>
              <w:top w:w="80" w:type="dxa"/>
              <w:start w:w="120" w:type="dxa"/>
              <w:bottom w:w="80" w:type="dxa"/>
              <w:end w:w="120" w:type="dxa"/>
            </w:tcMar>
          </w:tcPr>
          <w:p>
            <w:r>
              <w:t>99.0%</w:t>
            </w:r>
          </w:p>
        </w:tc>
        <w:tc>
          <w:tcPr>
            <w:tcW w:type="dxa" w:w="1872"/>
            <w:tcMar>
              <w:top w:w="80" w:type="dxa"/>
              <w:start w:w="120" w:type="dxa"/>
              <w:bottom w:w="80" w:type="dxa"/>
              <w:end w:w="120" w:type="dxa"/>
            </w:tcMar>
          </w:tcPr>
          <w:p>
            <w:r>
              <w:t>73.1%</w:t>
            </w:r>
          </w:p>
        </w:tc>
        <w:tc>
          <w:tcPr>
            <w:tcW w:type="dxa" w:w="1872"/>
            <w:tcMar>
              <w:top w:w="80" w:type="dxa"/>
              <w:start w:w="120" w:type="dxa"/>
              <w:bottom w:w="80" w:type="dxa"/>
              <w:end w:w="120" w:type="dxa"/>
            </w:tcMar>
          </w:tcPr>
          <w:p>
            <w:r>
              <w:t>90.5%</w:t>
            </w:r>
          </w:p>
        </w:tc>
        <w:tc>
          <w:tcPr>
            <w:tcW w:type="dxa" w:w="1872"/>
            <w:tcMar>
              <w:top w:w="80" w:type="dxa"/>
              <w:start w:w="120" w:type="dxa"/>
              <w:bottom w:w="80" w:type="dxa"/>
              <w:end w:w="120" w:type="dxa"/>
            </w:tcMar>
          </w:tcPr>
          <w:p>
            <w:r>
              <w:t>0.861</w:t>
            </w:r>
          </w:p>
        </w:tc>
      </w:tr>
      <w:tr>
        <w:tc>
          <w:tcPr>
            <w:tcW w:type="dxa" w:w="1872"/>
            <w:tcMar>
              <w:top w:w="80" w:type="dxa"/>
              <w:start w:w="120" w:type="dxa"/>
              <w:bottom w:w="80" w:type="dxa"/>
              <w:end w:w="120" w:type="dxa"/>
            </w:tcMar>
          </w:tcPr>
          <w:p>
            <w:r>
              <w:t>Sequence Proxy Neural Net</w:t>
            </w:r>
          </w:p>
        </w:tc>
        <w:tc>
          <w:tcPr>
            <w:tcW w:type="dxa" w:w="1872"/>
            <w:tcMar>
              <w:top w:w="80" w:type="dxa"/>
              <w:start w:w="120" w:type="dxa"/>
              <w:bottom w:w="80" w:type="dxa"/>
              <w:end w:w="120" w:type="dxa"/>
            </w:tcMar>
          </w:tcPr>
          <w:p>
            <w:r>
              <w:t>97.7%</w:t>
            </w:r>
          </w:p>
        </w:tc>
        <w:tc>
          <w:tcPr>
            <w:tcW w:type="dxa" w:w="1872"/>
            <w:tcMar>
              <w:top w:w="80" w:type="dxa"/>
              <w:start w:w="120" w:type="dxa"/>
              <w:bottom w:w="80" w:type="dxa"/>
              <w:end w:w="120" w:type="dxa"/>
            </w:tcMar>
          </w:tcPr>
          <w:p>
            <w:r>
              <w:t>19.2%</w:t>
            </w:r>
          </w:p>
        </w:tc>
        <w:tc>
          <w:tcPr>
            <w:tcW w:type="dxa" w:w="1872"/>
            <w:tcMar>
              <w:top w:w="80" w:type="dxa"/>
              <w:start w:w="120" w:type="dxa"/>
              <w:bottom w:w="80" w:type="dxa"/>
              <w:end w:w="120" w:type="dxa"/>
            </w:tcMar>
          </w:tcPr>
          <w:p>
            <w:r>
              <w:t>100.0%</w:t>
            </w:r>
          </w:p>
        </w:tc>
        <w:tc>
          <w:tcPr>
            <w:tcW w:type="dxa" w:w="1872"/>
            <w:tcMar>
              <w:top w:w="80" w:type="dxa"/>
              <w:start w:w="120" w:type="dxa"/>
              <w:bottom w:w="80" w:type="dxa"/>
              <w:end w:w="120" w:type="dxa"/>
            </w:tcMar>
          </w:tcPr>
          <w:p>
            <w:r>
              <w:t>0.911</w:t>
            </w:r>
          </w:p>
        </w:tc>
      </w:tr>
      <w:tr>
        <w:tc>
          <w:tcPr>
            <w:tcW w:type="dxa" w:w="1872"/>
            <w:tcMar>
              <w:top w:w="80" w:type="dxa"/>
              <w:start w:w="120" w:type="dxa"/>
              <w:bottom w:w="80" w:type="dxa"/>
              <w:end w:w="120" w:type="dxa"/>
            </w:tcMar>
          </w:tcPr>
          <w:p>
            <w:r>
              <w:t>K-Means High-Risk Segments</w:t>
            </w:r>
          </w:p>
        </w:tc>
        <w:tc>
          <w:tcPr>
            <w:tcW w:type="dxa" w:w="1872"/>
            <w:tcMar>
              <w:top w:w="80" w:type="dxa"/>
              <w:start w:w="120" w:type="dxa"/>
              <w:bottom w:w="80" w:type="dxa"/>
              <w:end w:w="120" w:type="dxa"/>
            </w:tcMar>
          </w:tcPr>
          <w:p>
            <w:r/>
          </w:p>
        </w:tc>
        <w:tc>
          <w:tcPr>
            <w:tcW w:type="dxa" w:w="1872"/>
            <w:tcMar>
              <w:top w:w="80" w:type="dxa"/>
              <w:start w:w="120" w:type="dxa"/>
              <w:bottom w:w="80" w:type="dxa"/>
              <w:end w:w="120" w:type="dxa"/>
            </w:tcMar>
          </w:tcPr>
          <w:p>
            <w:r/>
          </w:p>
        </w:tc>
        <w:tc>
          <w:tcPr>
            <w:tcW w:type="dxa" w:w="1872"/>
            <w:tcMar>
              <w:top w:w="80" w:type="dxa"/>
              <w:start w:w="120" w:type="dxa"/>
              <w:bottom w:w="80" w:type="dxa"/>
              <w:end w:w="120" w:type="dxa"/>
            </w:tcMar>
          </w:tcPr>
          <w:p>
            <w:r/>
          </w:p>
        </w:tc>
        <w:tc>
          <w:tcPr>
            <w:tcW w:type="dxa" w:w="1872"/>
            <w:tcMar>
              <w:top w:w="80" w:type="dxa"/>
              <w:start w:w="120" w:type="dxa"/>
              <w:bottom w:w="80" w:type="dxa"/>
              <w:end w:w="120" w:type="dxa"/>
            </w:tcMar>
          </w:tcPr>
          <w:p>
            <w:r>
              <w:t>0.133</w:t>
            </w:r>
          </w:p>
        </w:tc>
      </w:tr>
    </w:tbl>
    <w:p>
      <w:pPr/>
      <w:r>
        <w:t>The baseline Random Forest reached 99.0% accuracy, but its failure recall was 65.4%. XGBoost with class weighting caught 73.1% of failures and kept failure precision at 90.5%. Because failures are rare, the precision-recall curve is the more honest view of operational usefulness.</w:t>
      </w:r>
    </w:p>
    <w:p>
      <w:pPr>
        <w:pStyle w:val="Heading1"/>
      </w:pPr>
      <w:r>
        <w:rPr>
          <w:rFonts w:ascii="Calibri" w:hAnsi="Calibri"/>
          <w:b/>
          <w:color w:val="2E74B5"/>
          <w:sz w:val="32"/>
        </w:rPr>
        <w:t>Why the Highest-Risk Asset Was Flagged</w:t>
      </w:r>
    </w:p>
    <w:p>
      <w:pPr/>
      <w:r>
        <w:t>For asset 111 at cycle 50, the weighted XGBoost model estimated a 100.0% failure probability. SHAP explains this specific prediction by showing which signals pushed the alert upward.</w:t>
      </w:r>
    </w:p>
    <w:p>
      <w:pPr>
        <w:pStyle w:val="ListBullet"/>
        <w:ind w:left="720" w:hanging="360"/>
      </w:pPr>
      <w:r>
        <w:t>process_temp: scaled value 0.913, contribution 3.403 toward failure.</w:t>
      </w:r>
    </w:p>
    <w:p>
      <w:pPr>
        <w:pStyle w:val="ListBullet"/>
        <w:ind w:left="720" w:hanging="360"/>
      </w:pPr>
      <w:r>
        <w:t>vibration: scaled value 0.940, contribution 2.949 toward failure.</w:t>
      </w:r>
    </w:p>
    <w:p>
      <w:pPr>
        <w:pStyle w:val="ListBullet"/>
        <w:ind w:left="720" w:hanging="360"/>
      </w:pPr>
      <w:r>
        <w:t>noise: scaled value 0.910, contribution 1.396 toward failure.</w:t>
      </w:r>
    </w:p>
    <w:p>
      <w:pPr>
        <w:pStyle w:val="ListBullet"/>
        <w:ind w:left="720" w:hanging="360"/>
      </w:pPr>
      <w:r>
        <w:t>asset_id: scaled value 111.000, contribution -0.692 toward normal.</w:t>
      </w:r>
    </w:p>
    <w:p>
      <w:pPr>
        <w:pStyle w:val="ListBullet"/>
        <w:ind w:left="720" w:hanging="360"/>
      </w:pPr>
      <w:r>
        <w:t>tool_wear: scaled value 0.898, contribution 0.528 toward failure.</w:t>
      </w:r>
    </w:p>
    <w:p>
      <w:pPr>
        <w:pStyle w:val="Heading1"/>
      </w:pPr>
      <w:r>
        <w:rPr>
          <w:rFonts w:ascii="Calibri" w:hAnsi="Calibri"/>
          <w:b/>
          <w:color w:val="2E74B5"/>
          <w:sz w:val="32"/>
        </w:rPr>
        <w:t>Plain-Language Explanation</w:t>
      </w:r>
    </w:p>
    <w:p>
      <w:pPr/>
      <w:r>
        <w:t>The model is like an experienced mechanic listening to an engine. It does not make the decision from one sensor alone. It combines vibration, heat, torque, pressure, and wear patterns to decide whether a machine sounds different from healthy equipment.</w:t>
      </w:r>
    </w:p>
    <w:p>
      <w:pPr>
        <w:pStyle w:val="Heading1"/>
      </w:pPr>
      <w:r>
        <w:rPr>
          <w:rFonts w:ascii="Calibri" w:hAnsi="Calibri"/>
          <w:b/>
          <w:color w:val="2E74B5"/>
          <w:sz w:val="32"/>
        </w:rPr>
        <w:t>Recommended Response Path</w:t>
      </w:r>
    </w:p>
    <w:p>
      <w:pPr>
        <w:pStyle w:val="ListBullet"/>
        <w:ind w:left="720" w:hanging="360"/>
      </w:pPr>
      <w:r>
        <w:t>Treat high-risk predictions as triage alerts, not automatic shutdown orders.</w:t>
      </w:r>
    </w:p>
    <w:p>
      <w:pPr>
        <w:pStyle w:val="ListBullet"/>
        <w:ind w:left="720" w:hanging="360"/>
      </w:pPr>
      <w:r>
        <w:t>Inspect the physical systems connected to the top SHAP drivers, such as bearings for vibration or cooling and lubrication for temperature.</w:t>
      </w:r>
    </w:p>
    <w:p>
      <w:pPr>
        <w:pStyle w:val="ListBullet"/>
        <w:ind w:left="720" w:hanging="360"/>
      </w:pPr>
      <w:r>
        <w:t>Open a maintenance ticket when the same asset has repeated high-risk readings or when SHAP drivers match known failure modes.</w:t>
      </w:r>
    </w:p>
    <w:p>
      <w:pPr>
        <w:pStyle w:val="ListBullet"/>
        <w:ind w:left="720" w:hanging="360"/>
      </w:pPr>
      <w:r>
        <w:t>Record technician feedback so future models learn which alerts were useful.</w:t>
      </w:r>
    </w:p>
    <w:p>
      <w:pPr>
        <w:pStyle w:val="Heading1"/>
      </w:pPr>
      <w:r>
        <w:rPr>
          <w:rFonts w:ascii="Calibri" w:hAnsi="Calibri"/>
          <w:b/>
          <w:color w:val="2E74B5"/>
          <w:sz w:val="32"/>
        </w:rPr>
        <w:t>Limitations</w:t>
      </w:r>
    </w:p>
    <w:p>
      <w:pPr/>
      <w:r>
        <w:t>This is a synthetic lab dataset designed to mirror an industrial rare-event problem. A production model would require real sensor history, verified failure labels, asset metadata, and review by maintenance experts before operational use.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Week 9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