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A64F0"/>
          <w:sz w:val="64"/>
        </w:rPr>
        <w:t>UIFactory</w:t>
      </w:r>
    </w:p>
    <w:p>
      <w:pPr>
        <w:jc w:val="center"/>
      </w:pPr>
      <w:r>
        <w:rPr>
          <w:sz w:val="40"/>
        </w:rPr>
        <w:t>Azure Deployment Manual — AKS</w:t>
      </w:r>
    </w:p>
    <w:p>
      <w:pPr>
        <w:jc w:val="center"/>
      </w:pPr>
      <w:r>
        <w:rPr>
          <w:i/>
          <w:color w:val="6B7785"/>
        </w:rPr>
        <w:t>Infrastructure, networking &amp; multi-environment delivery on Azure Kubernetes Service (Dev → Test → Prod) · 2026-05-21</w:t>
      </w:r>
    </w:p>
    <w:p/>
    <w:p>
      <w:r>
        <w:rPr>
          <w:b/>
        </w:rPr>
        <w:t xml:space="preserve">Audience. </w:t>
      </w:r>
      <w:r>
        <w:t>Platform/DevOps engineers deploying UIFactory on Azure Kubernetes Service (AKS). It covers the target architecture, required application changes, identity (Entra Workload Identity), secrets (Key Vault via the CSI driver), networking, the data and AI tiers, the AKS cluster and workloads, a three-environment topology, GitOps/CI-CD, observability, and an ordered provisioning runbook.</w:t>
      </w:r>
    </w:p>
    <w:p>
      <w:r>
        <w:rPr>
          <w:b/>
        </w:rPr>
        <w:t xml:space="preserve">Note. </w:t>
      </w:r>
      <w:r>
        <w:t>Names, CIDRs and SKUs are illustrative — adapt to your subscription policy and IP plan. A lighter serverless alternative (Azure Container Apps) is noted where relevant, but AKS is the primary target here.</w:t>
      </w:r>
    </w:p>
    <w:p>
      <w:r>
        <w:br w:type="page"/>
      </w:r>
    </w:p>
    <w:p>
      <w:pPr>
        <w:pStyle w:val="Heading1"/>
      </w:pPr>
      <w:r>
        <w:t>1. Solution architecture</w:t>
      </w:r>
    </w:p>
    <w:p>
      <w:r>
        <w:rPr>
          <w:b w:val="0"/>
          <w:i w:val="0"/>
        </w:rPr>
        <w:t>UIFactory is a NestJS API (Node 22) plus a React/Vite single-page front end. On AKS both run as containers; the API depends on a metadata database, an AI provider, Microsoft Entra ID for sign-in, and controlled outbound access to the data sources and agent APIs that builders connect.</w:t>
      </w:r>
    </w:p>
    <w:p>
      <w:pPr>
        <w:pStyle w:val="Heading2"/>
      </w:pPr>
      <w:r>
        <w:t>1.1 Component → Azure service mapping</w:t>
      </w:r>
    </w:p>
    <w:tbl>
      <w:tblPr>
        <w:tblStyle w:val="TableGrid"/>
        <w:tblW w:type="auto" w:w="0"/>
        <w:tblLook w:firstColumn="1" w:firstRow="1" w:lastColumn="0" w:lastRow="0" w:noHBand="0" w:noVBand="1" w:val="04A0"/>
      </w:tblPr>
      <w:tblGrid>
        <w:gridCol w:w="2880"/>
        <w:gridCol w:w="2880"/>
        <w:gridCol w:w="2880"/>
      </w:tblGrid>
      <w:tr>
        <w:tc>
          <w:tcPr>
            <w:tcW w:type="dxa" w:w="2736"/>
          </w:tcPr>
          <w:p>
            <w:pPr>
              <w:shd w:val="clear" w:fill="3A64F0"/>
            </w:pPr>
            <w:r/>
            <w:r>
              <w:rPr>
                <w:b/>
                <w:color w:val="FFFFFF"/>
                <w:sz w:val="18"/>
              </w:rPr>
              <w:t>UIFactory component</w:t>
            </w:r>
          </w:p>
        </w:tc>
        <w:tc>
          <w:tcPr>
            <w:tcW w:type="dxa" w:w="3600"/>
          </w:tcPr>
          <w:p>
            <w:pPr>
              <w:shd w:val="clear" w:fill="3A64F0"/>
            </w:pPr>
            <w:r/>
            <w:r>
              <w:rPr>
                <w:b/>
                <w:color w:val="FFFFFF"/>
                <w:sz w:val="18"/>
              </w:rPr>
              <w:t>Azure / Kubernetes service</w:t>
            </w:r>
          </w:p>
        </w:tc>
        <w:tc>
          <w:tcPr>
            <w:tcW w:type="dxa" w:w="3600"/>
          </w:tcPr>
          <w:p>
            <w:pPr>
              <w:shd w:val="clear" w:fill="3A64F0"/>
            </w:pPr>
            <w:r/>
            <w:r>
              <w:rPr>
                <w:b/>
                <w:color w:val="FFFFFF"/>
                <w:sz w:val="18"/>
              </w:rPr>
              <w:t>Notes</w:t>
            </w:r>
          </w:p>
        </w:tc>
      </w:tr>
      <w:tr>
        <w:tc>
          <w:tcPr>
            <w:tcW w:type="dxa" w:w="2736"/>
          </w:tcPr>
          <w:p>
            <w:r/>
            <w:r>
              <w:rPr>
                <w:sz w:val="18"/>
              </w:rPr>
              <w:t>NestJS API</w:t>
            </w:r>
          </w:p>
        </w:tc>
        <w:tc>
          <w:tcPr>
            <w:tcW w:type="dxa" w:w="3600"/>
          </w:tcPr>
          <w:p>
            <w:r/>
            <w:r>
              <w:rPr>
                <w:sz w:val="18"/>
              </w:rPr>
              <w:t>AKS Deployment + Service (ClusterIP) + HPA</w:t>
            </w:r>
          </w:p>
        </w:tc>
        <w:tc>
          <w:tcPr>
            <w:tcW w:type="dxa" w:w="3600"/>
          </w:tcPr>
          <w:p>
            <w:r/>
            <w:r>
              <w:rPr>
                <w:sz w:val="18"/>
              </w:rPr>
              <w:t>Container on :3001, /api prefix; probes on /api/health</w:t>
            </w:r>
          </w:p>
        </w:tc>
      </w:tr>
      <w:tr>
        <w:tc>
          <w:tcPr>
            <w:tcW w:type="dxa" w:w="2736"/>
          </w:tcPr>
          <w:p>
            <w:r/>
            <w:r>
              <w:rPr>
                <w:sz w:val="18"/>
              </w:rPr>
              <w:t>React/Vite front end</w:t>
            </w:r>
          </w:p>
        </w:tc>
        <w:tc>
          <w:tcPr>
            <w:tcW w:type="dxa" w:w="3600"/>
          </w:tcPr>
          <w:p>
            <w:r/>
            <w:r>
              <w:rPr>
                <w:sz w:val="18"/>
              </w:rPr>
              <w:t>AKS Deployment (nginx) — or Static Web Apps/Front Door</w:t>
            </w:r>
          </w:p>
        </w:tc>
        <w:tc>
          <w:tcPr>
            <w:tcW w:type="dxa" w:w="3600"/>
          </w:tcPr>
          <w:p>
            <w:r/>
            <w:r>
              <w:rPr>
                <w:sz w:val="18"/>
              </w:rPr>
              <w:t>Serves built static assets behind the same ingress host</w:t>
            </w:r>
          </w:p>
        </w:tc>
      </w:tr>
      <w:tr>
        <w:tc>
          <w:tcPr>
            <w:tcW w:type="dxa" w:w="2736"/>
          </w:tcPr>
          <w:p>
            <w:r/>
            <w:r>
              <w:rPr>
                <w:sz w:val="18"/>
              </w:rPr>
              <w:t>Cluster</w:t>
            </w:r>
          </w:p>
        </w:tc>
        <w:tc>
          <w:tcPr>
            <w:tcW w:type="dxa" w:w="3600"/>
          </w:tcPr>
          <w:p>
            <w:r/>
            <w:r>
              <w:rPr>
                <w:sz w:val="18"/>
              </w:rPr>
              <w:t>Azure Kubernetes Service (private cluster)</w:t>
            </w:r>
          </w:p>
        </w:tc>
        <w:tc>
          <w:tcPr>
            <w:tcW w:type="dxa" w:w="3600"/>
          </w:tcPr>
          <w:p>
            <w:r/>
            <w:r>
              <w:rPr>
                <w:sz w:val="18"/>
              </w:rPr>
              <w:t>Azure CNI Overlay, system + user node pools, autoscaler</w:t>
            </w:r>
          </w:p>
        </w:tc>
      </w:tr>
      <w:tr>
        <w:tc>
          <w:tcPr>
            <w:tcW w:type="dxa" w:w="2736"/>
          </w:tcPr>
          <w:p>
            <w:r/>
            <w:r>
              <w:rPr>
                <w:sz w:val="18"/>
              </w:rPr>
              <w:t>Container images</w:t>
            </w:r>
          </w:p>
        </w:tc>
        <w:tc>
          <w:tcPr>
            <w:tcW w:type="dxa" w:w="3600"/>
          </w:tcPr>
          <w:p>
            <w:r/>
            <w:r>
              <w:rPr>
                <w:sz w:val="18"/>
              </w:rPr>
              <w:t>Azure Container Registry (ACR)</w:t>
            </w:r>
          </w:p>
        </w:tc>
        <w:tc>
          <w:tcPr>
            <w:tcW w:type="dxa" w:w="3600"/>
          </w:tcPr>
          <w:p>
            <w:r/>
            <w:r>
              <w:rPr>
                <w:sz w:val="18"/>
              </w:rPr>
              <w:t>Attached to AKS (AcrPull on kubelet identity); private endpoint</w:t>
            </w:r>
          </w:p>
        </w:tc>
      </w:tr>
      <w:tr>
        <w:tc>
          <w:tcPr>
            <w:tcW w:type="dxa" w:w="2736"/>
          </w:tcPr>
          <w:p>
            <w:r/>
            <w:r>
              <w:rPr>
                <w:sz w:val="18"/>
              </w:rPr>
              <w:t>Metadata DB</w:t>
            </w:r>
          </w:p>
        </w:tc>
        <w:tc>
          <w:tcPr>
            <w:tcW w:type="dxa" w:w="3600"/>
          </w:tcPr>
          <w:p>
            <w:r/>
            <w:r>
              <w:rPr>
                <w:sz w:val="18"/>
              </w:rPr>
              <w:t>Azure Database for PostgreSQL Flexible Server</w:t>
            </w:r>
          </w:p>
        </w:tc>
        <w:tc>
          <w:tcPr>
            <w:tcW w:type="dxa" w:w="3600"/>
          </w:tcPr>
          <w:p>
            <w:r/>
            <w:r>
              <w:rPr>
                <w:sz w:val="18"/>
              </w:rPr>
              <w:t>Replaces dev SQLite (see §2); private access</w:t>
            </w:r>
          </w:p>
        </w:tc>
      </w:tr>
      <w:tr>
        <w:tc>
          <w:tcPr>
            <w:tcW w:type="dxa" w:w="2736"/>
          </w:tcPr>
          <w:p>
            <w:r/>
            <w:r>
              <w:rPr>
                <w:sz w:val="18"/>
              </w:rPr>
              <w:t>AI generation / chat</w:t>
            </w:r>
          </w:p>
        </w:tc>
        <w:tc>
          <w:tcPr>
            <w:tcW w:type="dxa" w:w="3600"/>
          </w:tcPr>
          <w:p>
            <w:r/>
            <w:r>
              <w:rPr>
                <w:sz w:val="18"/>
              </w:rPr>
              <w:t>Azure OpenAI (or per-app Anthropic/OpenAI/agent API)</w:t>
            </w:r>
          </w:p>
        </w:tc>
        <w:tc>
          <w:tcPr>
            <w:tcW w:type="dxa" w:w="3600"/>
          </w:tcPr>
          <w:p>
            <w:r/>
            <w:r>
              <w:rPr>
                <w:sz w:val="18"/>
              </w:rPr>
              <w:t>Model deployments; workload-identity access</w:t>
            </w:r>
          </w:p>
        </w:tc>
      </w:tr>
      <w:tr>
        <w:tc>
          <w:tcPr>
            <w:tcW w:type="dxa" w:w="2736"/>
          </w:tcPr>
          <w:p>
            <w:r/>
            <w:r>
              <w:rPr>
                <w:sz w:val="18"/>
              </w:rPr>
              <w:t>Identity (SSO)</w:t>
            </w:r>
          </w:p>
        </w:tc>
        <w:tc>
          <w:tcPr>
            <w:tcW w:type="dxa" w:w="3600"/>
          </w:tcPr>
          <w:p>
            <w:r/>
            <w:r>
              <w:rPr>
                <w:sz w:val="18"/>
              </w:rPr>
              <w:t>Microsoft Entra ID</w:t>
            </w:r>
          </w:p>
        </w:tc>
        <w:tc>
          <w:tcPr>
            <w:tcW w:type="dxa" w:w="3600"/>
          </w:tcPr>
          <w:p>
            <w:r/>
            <w:r>
              <w:rPr>
                <w:sz w:val="18"/>
              </w:rPr>
              <w:t>App registration (OIDC); Microsoft Graph for org directory</w:t>
            </w:r>
          </w:p>
        </w:tc>
      </w:tr>
      <w:tr>
        <w:tc>
          <w:tcPr>
            <w:tcW w:type="dxa" w:w="2736"/>
          </w:tcPr>
          <w:p>
            <w:r/>
            <w:r>
              <w:rPr>
                <w:sz w:val="18"/>
              </w:rPr>
              <w:t>Pod → Azure auth</w:t>
            </w:r>
          </w:p>
        </w:tc>
        <w:tc>
          <w:tcPr>
            <w:tcW w:type="dxa" w:w="3600"/>
          </w:tcPr>
          <w:p>
            <w:r/>
            <w:r>
              <w:rPr>
                <w:sz w:val="18"/>
              </w:rPr>
              <w:t>Entra Workload Identity (federated)</w:t>
            </w:r>
          </w:p>
        </w:tc>
        <w:tc>
          <w:tcPr>
            <w:tcW w:type="dxa" w:w="3600"/>
          </w:tcPr>
          <w:p>
            <w:r/>
            <w:r>
              <w:rPr>
                <w:sz w:val="18"/>
              </w:rPr>
              <w:t>No node secrets; per-ServiceAccount federation</w:t>
            </w:r>
          </w:p>
        </w:tc>
      </w:tr>
      <w:tr>
        <w:tc>
          <w:tcPr>
            <w:tcW w:type="dxa" w:w="2736"/>
          </w:tcPr>
          <w:p>
            <w:r/>
            <w:r>
              <w:rPr>
                <w:sz w:val="18"/>
              </w:rPr>
              <w:t>Secrets</w:t>
            </w:r>
          </w:p>
        </w:tc>
        <w:tc>
          <w:tcPr>
            <w:tcW w:type="dxa" w:w="3600"/>
          </w:tcPr>
          <w:p>
            <w:r/>
            <w:r>
              <w:rPr>
                <w:sz w:val="18"/>
              </w:rPr>
              <w:t>Key Vault + Secrets Store CSI Driver</w:t>
            </w:r>
          </w:p>
        </w:tc>
        <w:tc>
          <w:tcPr>
            <w:tcW w:type="dxa" w:w="3600"/>
          </w:tcPr>
          <w:p>
            <w:r/>
            <w:r>
              <w:rPr>
                <w:sz w:val="18"/>
              </w:rPr>
              <w:t>Mounted/synced to pods via SecretProviderClass</w:t>
            </w:r>
          </w:p>
        </w:tc>
      </w:tr>
      <w:tr>
        <w:tc>
          <w:tcPr>
            <w:tcW w:type="dxa" w:w="2736"/>
          </w:tcPr>
          <w:p>
            <w:r/>
            <w:r>
              <w:rPr>
                <w:sz w:val="18"/>
              </w:rPr>
              <w:t>Ingress / TLS / WAF</w:t>
            </w:r>
          </w:p>
        </w:tc>
        <w:tc>
          <w:tcPr>
            <w:tcW w:type="dxa" w:w="3600"/>
          </w:tcPr>
          <w:p>
            <w:r/>
            <w:r>
              <w:rPr>
                <w:sz w:val="18"/>
              </w:rPr>
              <w:t>App Gateway Ingress Controller (WAF_v2) — or Front Door</w:t>
            </w:r>
          </w:p>
        </w:tc>
        <w:tc>
          <w:tcPr>
            <w:tcW w:type="dxa" w:w="3600"/>
          </w:tcPr>
          <w:p>
            <w:r/>
            <w:r>
              <w:rPr>
                <w:sz w:val="18"/>
              </w:rPr>
              <w:t>Custom domain, TLS, routes / and /api/*</w:t>
            </w:r>
          </w:p>
        </w:tc>
      </w:tr>
      <w:tr>
        <w:tc>
          <w:tcPr>
            <w:tcW w:type="dxa" w:w="2736"/>
          </w:tcPr>
          <w:p>
            <w:r/>
            <w:r>
              <w:rPr>
                <w:sz w:val="18"/>
              </w:rPr>
              <w:t>Egress control</w:t>
            </w:r>
          </w:p>
        </w:tc>
        <w:tc>
          <w:tcPr>
            <w:tcW w:type="dxa" w:w="3600"/>
          </w:tcPr>
          <w:p>
            <w:r/>
            <w:r>
              <w:rPr>
                <w:sz w:val="18"/>
              </w:rPr>
              <w:t>Azure Firewall + UDR (or NAT Gateway)</w:t>
            </w:r>
          </w:p>
        </w:tc>
        <w:tc>
          <w:tcPr>
            <w:tcW w:type="dxa" w:w="3600"/>
          </w:tcPr>
          <w:p>
            <w:r/>
            <w:r>
              <w:rPr>
                <w:sz w:val="18"/>
              </w:rPr>
              <w:t>FQDN filtering for data-source/agent calls; stable egress IP</w:t>
            </w:r>
          </w:p>
        </w:tc>
      </w:tr>
      <w:tr>
        <w:tc>
          <w:tcPr>
            <w:tcW w:type="dxa" w:w="2736"/>
          </w:tcPr>
          <w:p>
            <w:r/>
            <w:r>
              <w:rPr>
                <w:sz w:val="18"/>
              </w:rPr>
              <w:t>Networking</w:t>
            </w:r>
          </w:p>
        </w:tc>
        <w:tc>
          <w:tcPr>
            <w:tcW w:type="dxa" w:w="3600"/>
          </w:tcPr>
          <w:p>
            <w:r/>
            <w:r>
              <w:rPr>
                <w:sz w:val="18"/>
              </w:rPr>
              <w:t>VNet + Private Endpoints + Private DNS + Network Policy</w:t>
            </w:r>
          </w:p>
        </w:tc>
        <w:tc>
          <w:tcPr>
            <w:tcW w:type="dxa" w:w="3600"/>
          </w:tcPr>
          <w:p>
            <w:r/>
            <w:r>
              <w:rPr>
                <w:sz w:val="18"/>
              </w:rPr>
              <w:t>Isolates DB, KV, ACR, OpenAI; intra-cluster policy</w:t>
            </w:r>
          </w:p>
        </w:tc>
      </w:tr>
      <w:tr>
        <w:tc>
          <w:tcPr>
            <w:tcW w:type="dxa" w:w="2736"/>
          </w:tcPr>
          <w:p>
            <w:r/>
            <w:r>
              <w:rPr>
                <w:sz w:val="18"/>
              </w:rPr>
              <w:t>Observability</w:t>
            </w:r>
          </w:p>
        </w:tc>
        <w:tc>
          <w:tcPr>
            <w:tcW w:type="dxa" w:w="3600"/>
          </w:tcPr>
          <w:p>
            <w:r/>
            <w:r>
              <w:rPr>
                <w:sz w:val="18"/>
              </w:rPr>
              <w:t>Azure Monitor (Container Insights) + App Insights</w:t>
            </w:r>
          </w:p>
        </w:tc>
        <w:tc>
          <w:tcPr>
            <w:tcW w:type="dxa" w:w="3600"/>
          </w:tcPr>
          <w:p>
            <w:r/>
            <w:r>
              <w:rPr>
                <w:sz w:val="18"/>
              </w:rPr>
              <w:t>Cluster + app logs/metrics/traces</w:t>
            </w:r>
          </w:p>
        </w:tc>
      </w:tr>
      <w:tr>
        <w:tc>
          <w:tcPr>
            <w:tcW w:type="dxa" w:w="2736"/>
          </w:tcPr>
          <w:p>
            <w:r/>
            <w:r>
              <w:rPr>
                <w:sz w:val="18"/>
              </w:rPr>
              <w:t>IaC + delivery</w:t>
            </w:r>
          </w:p>
        </w:tc>
        <w:tc>
          <w:tcPr>
            <w:tcW w:type="dxa" w:w="3600"/>
          </w:tcPr>
          <w:p>
            <w:r/>
            <w:r>
              <w:rPr>
                <w:sz w:val="18"/>
              </w:rPr>
              <w:t>Bicep/Terraform (infra) + Helm + GitOps (Argo/Flux)</w:t>
            </w:r>
          </w:p>
        </w:tc>
        <w:tc>
          <w:tcPr>
            <w:tcW w:type="dxa" w:w="3600"/>
          </w:tcPr>
          <w:p>
            <w:r/>
            <w:r>
              <w:rPr>
                <w:sz w:val="18"/>
              </w:rPr>
              <w:t>Per-env values; gated promotion</w:t>
            </w:r>
          </w:p>
        </w:tc>
      </w:tr>
    </w:tbl>
    <w:p/>
    <w:p>
      <w:pPr>
        <w:pStyle w:val="Heading2"/>
      </w:pPr>
      <w:r>
        <w:t>1.2 Reference architecture</w:t>
      </w:r>
    </w:p>
    <w:p>
      <w:pPr>
        <w:jc w:val="center"/>
      </w:pPr>
      <w:r>
        <w:drawing>
          <wp:inline xmlns:a="http://schemas.openxmlformats.org/drawingml/2006/main" xmlns:pic="http://schemas.openxmlformats.org/drawingml/2006/picture">
            <wp:extent cx="5943600" cy="252424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943600" cy="2524240"/>
                    </a:xfrm>
                    <a:prstGeom prst="rect"/>
                  </pic:spPr>
                </pic:pic>
              </a:graphicData>
            </a:graphic>
          </wp:inline>
        </w:drawing>
      </w:r>
    </w:p>
    <w:p>
      <w:pPr>
        <w:jc w:val="center"/>
      </w:pPr>
      <w:r>
        <w:rPr>
          <w:i/>
          <w:color w:val="6B7785"/>
          <w:sz w:val="18"/>
        </w:rPr>
        <w:t>Figure 1 — UIFactory on AKS: ingress, in-cluster workloads with workload identity, and PaaS dependencies reached over private endpoints with controlled egress.</w:t>
      </w:r>
    </w:p>
    <w:p>
      <w:r>
        <w:br w:type="page"/>
      </w:r>
    </w:p>
    <w:p>
      <w:pPr>
        <w:pStyle w:val="Heading1"/>
      </w:pPr>
      <w:r>
        <w:t>2. Prerequisites &amp; required application changes</w:t>
      </w:r>
    </w:p>
    <w:p>
      <w:pPr>
        <w:pStyle w:val="Heading2"/>
      </w:pPr>
      <w:r>
        <w:t>2.1 Tooling &amp; access</w:t>
      </w:r>
    </w:p>
    <w:p>
      <w:pPr>
        <w:pStyle w:val="ListBullet"/>
      </w:pPr>
      <w:r>
        <w:rPr>
          <w:b/>
        </w:rPr>
        <w:t xml:space="preserve">Azure subscription(s). </w:t>
      </w:r>
      <w:r>
        <w:t>Contributor + User Access Administrator on target subscriptions.</w:t>
      </w:r>
    </w:p>
    <w:p>
      <w:pPr>
        <w:pStyle w:val="ListBullet"/>
      </w:pPr>
      <w:r>
        <w:rPr>
          <w:b/>
        </w:rPr>
        <w:t xml:space="preserve">Entra ID privileges. </w:t>
      </w:r>
      <w:r>
        <w:t>Create app registrations and grant admin consent for Graph permissions.</w:t>
      </w:r>
    </w:p>
    <w:p>
      <w:pPr>
        <w:pStyle w:val="ListBullet"/>
      </w:pPr>
      <w:r>
        <w:rPr>
          <w:b/>
        </w:rPr>
        <w:t xml:space="preserve">Local tooling. </w:t>
      </w:r>
      <w:r>
        <w:t>Azure CLI (az) + aks-preview, kubectl, Helm 3, Bicep/Terraform, Docker, and GitHub repo admin.</w:t>
      </w:r>
    </w:p>
    <w:p>
      <w:pPr>
        <w:pStyle w:val="ListBullet"/>
      </w:pPr>
      <w:r>
        <w:rPr>
          <w:b/>
        </w:rPr>
        <w:t xml:space="preserve">Cluster access model. </w:t>
      </w:r>
      <w:r>
        <w:t>Enable Azure RBAC for Kubernetes authorization and Entra-integrated cluster admin groups.</w:t>
      </w:r>
    </w:p>
    <w:p>
      <w:pPr>
        <w:pStyle w:val="ListBullet"/>
      </w:pPr>
      <w:r>
        <w:rPr>
          <w:b/>
        </w:rPr>
        <w:t xml:space="preserve">DNS. </w:t>
      </w:r>
      <w:r>
        <w:t>A custom domain per environment to point at the App Gateway / Front Door public endpoint.</w:t>
      </w:r>
    </w:p>
    <w:p>
      <w:pPr>
        <w:pStyle w:val="Heading2"/>
      </w:pPr>
      <w:r>
        <w:t>2.2 Application changes required for production</w:t>
      </w:r>
    </w:p>
    <w:p>
      <w:pPr>
        <w:pStyle w:val="ListBullet"/>
      </w:pPr>
      <w:r>
        <w:rPr>
          <w:b/>
        </w:rPr>
        <w:t xml:space="preserve">Use PostgreSQL for metadata. </w:t>
      </w:r>
      <w:r>
        <w:t>Set the Prisma datasource provider to postgresql and DATABASE_URL to the Flexible Server connection string; replace `prisma db push` with `prisma migrate deploy`.</w:t>
      </w:r>
    </w:p>
    <w:p>
      <w:pPr>
        <w:pStyle w:val="ListBullet"/>
      </w:pPr>
      <w:r>
        <w:rPr>
          <w:b/>
        </w:rPr>
        <w:t xml:space="preserve">Containerize. </w:t>
      </w:r>
      <w:r>
        <w:t>Backend Dockerfile (Appendix A) pushed to ACR; front end as an nginx image or Static Web Apps (Appendix B).</w:t>
      </w:r>
    </w:p>
    <w:p>
      <w:pPr>
        <w:pStyle w:val="ListBullet"/>
      </w:pPr>
      <w:r>
        <w:rPr>
          <w:b/>
        </w:rPr>
        <w:t xml:space="preserve">Kubernetes manifests / Helm chart. </w:t>
      </w:r>
      <w:r>
        <w:t>Deployment, Service, Ingress, HPA, ServiceAccount (workload identity), SecretProviderClass, and a migration Job (Appendices C–D).</w:t>
      </w:r>
    </w:p>
    <w:p>
      <w:pPr>
        <w:pStyle w:val="ListBullet"/>
      </w:pPr>
      <w:r>
        <w:rPr>
          <w:b/>
        </w:rPr>
        <w:t xml:space="preserve">Probes. </w:t>
      </w:r>
      <w:r>
        <w:t>Liveness/readiness on GET /api/health; set resource requests/limits.</w:t>
      </w:r>
    </w:p>
    <w:p>
      <w:pPr>
        <w:pStyle w:val="ListBullet"/>
      </w:pPr>
      <w:r>
        <w:rPr>
          <w:b/>
        </w:rPr>
        <w:t xml:space="preserve">Production cookies. </w:t>
      </w:r>
      <w:r>
        <w:t>NODE_ENV=production (Secure cookies); FRONTEND_URL set to the public origin.</w:t>
      </w:r>
    </w:p>
    <w:p>
      <w:pPr>
        <w:pStyle w:val="ListBullet"/>
      </w:pPr>
      <w:r>
        <w:rPr>
          <w:b/>
        </w:rPr>
        <w:t xml:space="preserve">Per-env Entra config. </w:t>
      </w:r>
      <w:r>
        <w:t>AZURE_AD_* and AZURE_AD_REDIRECT_URI set to each environment's callback URL.</w:t>
      </w:r>
    </w:p>
    <w:p>
      <w:pPr>
        <w:pStyle w:val="ListBullet"/>
      </w:pPr>
      <w:r>
        <w:rPr>
          <w:b/>
        </w:rPr>
        <w:t xml:space="preserve">Encryption key. </w:t>
      </w:r>
      <w:r>
        <w:t>Unique 32-byte SECRETS_KEY per environment, delivered from Key Vault via the CSI driver.</w:t>
      </w:r>
    </w:p>
    <w:p>
      <w:pPr>
        <w:pStyle w:val="ListBullet"/>
      </w:pPr>
      <w:r>
        <w:rPr>
          <w:b/>
        </w:rPr>
        <w:t xml:space="preserve">Outbound policy. </w:t>
      </w:r>
      <w:r>
        <w:t>Keep SSRF private-IP blocking on in prod; allow specific internal sources via OUTBOUND_ALLOWLIST.</w:t>
      </w:r>
    </w:p>
    <w:p>
      <w:pPr>
        <w:pStyle w:val="ListBullet"/>
      </w:pPr>
      <w:r>
        <w:rPr>
          <w:b/>
        </w:rPr>
        <w:t xml:space="preserve">Ephemeral SQLite caveat. </w:t>
      </w:r>
      <w:r>
        <w:t>The SQLite data-source connector uses a pod-local file path — not durable; prefer PostgreSQL/REST sources, or mount Azure Files via a PVC if a file DB is unavoidable.</w:t>
      </w:r>
    </w:p>
    <w:p>
      <w:r>
        <w:br w:type="page"/>
      </w:r>
    </w:p>
    <w:p>
      <w:pPr>
        <w:pStyle w:val="Heading1"/>
      </w:pPr>
      <w:r>
        <w:t>3. Identity &amp; access</w:t>
      </w:r>
    </w:p>
    <w:p>
      <w:pPr>
        <w:pStyle w:val="Heading2"/>
      </w:pPr>
      <w:r>
        <w:t>3.1 Sign-in (Microsoft Entra ID app registration)</w:t>
      </w:r>
    </w:p>
    <w:p>
      <w:pPr>
        <w:pStyle w:val="ListNumber"/>
      </w:pPr>
      <w:r>
        <w:t>Register one app per environment (e.g. 'uifactory-prod').</w:t>
      </w:r>
    </w:p>
    <w:p>
      <w:pPr>
        <w:pStyle w:val="ListNumber"/>
      </w:pPr>
      <w:r>
        <w:t>Add Web redirect URI https://&lt;env-host&gt;/api/auth/callback.</w:t>
      </w:r>
    </w:p>
    <w:p>
      <w:pPr>
        <w:pStyle w:val="ListNumber"/>
      </w:pPr>
      <w:r>
        <w:t>Create a client secret (stored in Key Vault).</w:t>
      </w:r>
    </w:p>
    <w:p>
      <w:pPr>
        <w:pStyle w:val="ListNumber"/>
      </w:pPr>
      <w:r>
        <w:t>Delegated permissions openid, profile, email; for the org directory picker add Graph application permission User.Read.All with admin consent.</w:t>
      </w:r>
    </w:p>
    <w:p>
      <w:pPr>
        <w:pStyle w:val="ListNumber"/>
      </w:pPr>
      <w:r>
        <w:t>Map Tenant ID / Client ID / secret to AZURE_AD_TENANT_ID / AZURE_AD_CLIENT_ID / AZURE_AD_CLIENT_SECRET.</w:t>
      </w:r>
    </w:p>
    <w:p>
      <w:pPr>
        <w:pStyle w:val="Heading2"/>
      </w:pPr>
      <w:r>
        <w:t>3.2 Pod-to-Azure auth — Entra Workload Identity</w:t>
      </w:r>
    </w:p>
    <w:p>
      <w:r>
        <w:rPr>
          <w:b w:val="0"/>
          <w:i w:val="0"/>
        </w:rPr>
        <w:t>Avoid storing cloud credentials in the cluster. Use AKS Workload Identity so the API pod authenticates to Azure as a user-assigned managed identity:</w:t>
      </w:r>
    </w:p>
    <w:p>
      <w:pPr>
        <w:pStyle w:val="ListNumber"/>
      </w:pPr>
      <w:r>
        <w:t>Enable the AKS OIDC issuer and Workload Identity (`--enable-oidc-issuer --enable-workload-identity`).</w:t>
      </w:r>
    </w:p>
    <w:p>
      <w:pPr>
        <w:pStyle w:val="ListNumber"/>
      </w:pPr>
      <w:r>
        <w:t>Create a user-assigned managed identity for the workload.</w:t>
      </w:r>
    </w:p>
    <w:p>
      <w:pPr>
        <w:pStyle w:val="ListNumber"/>
      </w:pPr>
      <w:r>
        <w:t>Create a federated identity credential mapping the cluster issuer + namespace:serviceaccount to that identity.</w:t>
      </w:r>
    </w:p>
    <w:p>
      <w:pPr>
        <w:pStyle w:val="ListNumber"/>
      </w:pPr>
      <w:r>
        <w:t>Annotate the Kubernetes ServiceAccount with azure.workload.identity/client-id and label pods azure.workload.identity/use: "true".</w:t>
      </w:r>
    </w:p>
    <w:p>
      <w:r>
        <w:rPr>
          <w:b w:val="0"/>
          <w:i w:val="0"/>
        </w:rPr>
        <w:t>Role assignments (least privilege):</w:t>
      </w:r>
    </w:p>
    <w:tbl>
      <w:tblPr>
        <w:tblStyle w:val="TableGrid"/>
        <w:tblW w:type="auto" w:w="0"/>
        <w:tblLook w:firstColumn="1" w:firstRow="1" w:lastColumn="0" w:lastRow="0" w:noHBand="0" w:noVBand="1" w:val="04A0"/>
      </w:tblPr>
      <w:tblGrid>
        <w:gridCol w:w="2880"/>
        <w:gridCol w:w="2880"/>
        <w:gridCol w:w="2880"/>
      </w:tblGrid>
      <w:tr>
        <w:tc>
          <w:tcPr>
            <w:tcW w:type="dxa" w:w="3456"/>
          </w:tcPr>
          <w:p>
            <w:pPr>
              <w:shd w:val="clear" w:fill="3A64F0"/>
            </w:pPr>
            <w:r/>
            <w:r>
              <w:rPr>
                <w:b/>
                <w:color w:val="FFFFFF"/>
                <w:sz w:val="18"/>
              </w:rPr>
              <w:t>Identity</w:t>
            </w:r>
          </w:p>
        </w:tc>
        <w:tc>
          <w:tcPr>
            <w:tcW w:type="dxa" w:w="2880"/>
          </w:tcPr>
          <w:p>
            <w:pPr>
              <w:shd w:val="clear" w:fill="3A64F0"/>
            </w:pPr>
            <w:r/>
            <w:r>
              <w:rPr>
                <w:b/>
                <w:color w:val="FFFFFF"/>
                <w:sz w:val="18"/>
              </w:rPr>
              <w:t>Target</w:t>
            </w:r>
          </w:p>
        </w:tc>
        <w:tc>
          <w:tcPr>
            <w:tcW w:type="dxa" w:w="3312"/>
          </w:tcPr>
          <w:p>
            <w:pPr>
              <w:shd w:val="clear" w:fill="3A64F0"/>
            </w:pPr>
            <w:r/>
            <w:r>
              <w:rPr>
                <w:b/>
                <w:color w:val="FFFFFF"/>
                <w:sz w:val="18"/>
              </w:rPr>
              <w:t>Role</w:t>
            </w:r>
          </w:p>
        </w:tc>
      </w:tr>
      <w:tr>
        <w:tc>
          <w:tcPr>
            <w:tcW w:type="dxa" w:w="3456"/>
          </w:tcPr>
          <w:p>
            <w:r/>
            <w:r>
              <w:rPr>
                <w:sz w:val="18"/>
              </w:rPr>
              <w:t>Workload identity (API pod)</w:t>
            </w:r>
          </w:p>
        </w:tc>
        <w:tc>
          <w:tcPr>
            <w:tcW w:type="dxa" w:w="2880"/>
          </w:tcPr>
          <w:p>
            <w:r/>
            <w:r>
              <w:rPr>
                <w:sz w:val="18"/>
              </w:rPr>
              <w:t>Key Vault</w:t>
            </w:r>
          </w:p>
        </w:tc>
        <w:tc>
          <w:tcPr>
            <w:tcW w:type="dxa" w:w="3312"/>
          </w:tcPr>
          <w:p>
            <w:r/>
            <w:r>
              <w:rPr>
                <w:sz w:val="18"/>
              </w:rPr>
              <w:t>Key Vault Secrets User</w:t>
            </w:r>
          </w:p>
        </w:tc>
      </w:tr>
      <w:tr>
        <w:tc>
          <w:tcPr>
            <w:tcW w:type="dxa" w:w="3456"/>
          </w:tcPr>
          <w:p>
            <w:r/>
            <w:r>
              <w:rPr>
                <w:sz w:val="18"/>
              </w:rPr>
              <w:t>Workload identity (API pod)</w:t>
            </w:r>
          </w:p>
        </w:tc>
        <w:tc>
          <w:tcPr>
            <w:tcW w:type="dxa" w:w="2880"/>
          </w:tcPr>
          <w:p>
            <w:r/>
            <w:r>
              <w:rPr>
                <w:sz w:val="18"/>
              </w:rPr>
              <w:t>Azure OpenAI</w:t>
            </w:r>
          </w:p>
        </w:tc>
        <w:tc>
          <w:tcPr>
            <w:tcW w:type="dxa" w:w="3312"/>
          </w:tcPr>
          <w:p>
            <w:r/>
            <w:r>
              <w:rPr>
                <w:sz w:val="18"/>
              </w:rPr>
              <w:t>Cognitive Services OpenAI User</w:t>
            </w:r>
          </w:p>
        </w:tc>
      </w:tr>
      <w:tr>
        <w:tc>
          <w:tcPr>
            <w:tcW w:type="dxa" w:w="3456"/>
          </w:tcPr>
          <w:p>
            <w:r/>
            <w:r>
              <w:rPr>
                <w:sz w:val="18"/>
              </w:rPr>
              <w:t>AKS kubelet identity</w:t>
            </w:r>
          </w:p>
        </w:tc>
        <w:tc>
          <w:tcPr>
            <w:tcW w:type="dxa" w:w="2880"/>
          </w:tcPr>
          <w:p>
            <w:r/>
            <w:r>
              <w:rPr>
                <w:sz w:val="18"/>
              </w:rPr>
              <w:t>Container Registry</w:t>
            </w:r>
          </w:p>
        </w:tc>
        <w:tc>
          <w:tcPr>
            <w:tcW w:type="dxa" w:w="3312"/>
          </w:tcPr>
          <w:p>
            <w:r/>
            <w:r>
              <w:rPr>
                <w:sz w:val="18"/>
              </w:rPr>
              <w:t>AcrPull (via `az aks update --attach-acr`)</w:t>
            </w:r>
          </w:p>
        </w:tc>
      </w:tr>
      <w:tr>
        <w:tc>
          <w:tcPr>
            <w:tcW w:type="dxa" w:w="3456"/>
          </w:tcPr>
          <w:p>
            <w:r/>
            <w:r>
              <w:rPr>
                <w:sz w:val="18"/>
              </w:rPr>
              <w:t>AGIC identity</w:t>
            </w:r>
          </w:p>
        </w:tc>
        <w:tc>
          <w:tcPr>
            <w:tcW w:type="dxa" w:w="2880"/>
          </w:tcPr>
          <w:p>
            <w:r/>
            <w:r>
              <w:rPr>
                <w:sz w:val="18"/>
              </w:rPr>
              <w:t>App Gateway / RG</w:t>
            </w:r>
          </w:p>
        </w:tc>
        <w:tc>
          <w:tcPr>
            <w:tcW w:type="dxa" w:w="3312"/>
          </w:tcPr>
          <w:p>
            <w:r/>
            <w:r>
              <w:rPr>
                <w:sz w:val="18"/>
              </w:rPr>
              <w:t>Contributor on the App Gateway (managed by the AGIC addon)</w:t>
            </w:r>
          </w:p>
        </w:tc>
      </w:tr>
    </w:tbl>
    <w:p/>
    <w:p>
      <w:r>
        <w:br w:type="page"/>
      </w:r>
    </w:p>
    <w:p>
      <w:pPr>
        <w:pStyle w:val="Heading1"/>
      </w:pPr>
      <w:r>
        <w:t>4. Secrets management (Key Vault + CSI driver)</w:t>
      </w:r>
    </w:p>
    <w:p>
      <w:r>
        <w:rPr>
          <w:b w:val="0"/>
          <w:i w:val="0"/>
        </w:rPr>
        <w:t>Create one Key Vault per environment (RBAC-enabled, soft-delete + purge protection in prod, private endpoint). Enable the AKS addon `azure-keyvault-secrets-provider` and reference secrets with a SecretProviderClass that uses the workload identity; optionally sync them into a Kubernetes Secret consumed as environment variables.</w:t>
      </w:r>
    </w:p>
    <w:tbl>
      <w:tblPr>
        <w:tblStyle w:val="TableGrid"/>
        <w:tblW w:type="auto" w:w="0"/>
        <w:tblLook w:firstColumn="1" w:firstRow="1" w:lastColumn="0" w:lastRow="0" w:noHBand="0" w:noVBand="1" w:val="04A0"/>
      </w:tblPr>
      <w:tblGrid>
        <w:gridCol w:w="2880"/>
        <w:gridCol w:w="2880"/>
        <w:gridCol w:w="2880"/>
      </w:tblGrid>
      <w:tr>
        <w:tc>
          <w:tcPr>
            <w:tcW w:type="dxa" w:w="3024"/>
          </w:tcPr>
          <w:p>
            <w:pPr>
              <w:shd w:val="clear" w:fill="3A64F0"/>
            </w:pPr>
            <w:r/>
            <w:r>
              <w:rPr>
                <w:b/>
                <w:color w:val="FFFFFF"/>
                <w:sz w:val="18"/>
              </w:rPr>
              <w:t>Secret / setting</w:t>
            </w:r>
          </w:p>
        </w:tc>
        <w:tc>
          <w:tcPr>
            <w:tcW w:type="dxa" w:w="3312"/>
          </w:tcPr>
          <w:p>
            <w:pPr>
              <w:shd w:val="clear" w:fill="3A64F0"/>
            </w:pPr>
            <w:r/>
            <w:r>
              <w:rPr>
                <w:b/>
                <w:color w:val="FFFFFF"/>
                <w:sz w:val="18"/>
              </w:rPr>
              <w:t>App env var</w:t>
            </w:r>
          </w:p>
        </w:tc>
        <w:tc>
          <w:tcPr>
            <w:tcW w:type="dxa" w:w="3600"/>
          </w:tcPr>
          <w:p>
            <w:pPr>
              <w:shd w:val="clear" w:fill="3A64F0"/>
            </w:pPr>
            <w:r/>
            <w:r>
              <w:rPr>
                <w:b/>
                <w:color w:val="FFFFFF"/>
                <w:sz w:val="18"/>
              </w:rPr>
              <w:t>Notes</w:t>
            </w:r>
          </w:p>
        </w:tc>
      </w:tr>
      <w:tr>
        <w:tc>
          <w:tcPr>
            <w:tcW w:type="dxa" w:w="3024"/>
          </w:tcPr>
          <w:p>
            <w:r/>
            <w:r>
              <w:rPr>
                <w:sz w:val="18"/>
              </w:rPr>
              <w:t>DB connection string</w:t>
            </w:r>
          </w:p>
        </w:tc>
        <w:tc>
          <w:tcPr>
            <w:tcW w:type="dxa" w:w="3312"/>
          </w:tcPr>
          <w:p>
            <w:r/>
            <w:r>
              <w:rPr>
                <w:sz w:val="18"/>
              </w:rPr>
              <w:t>DATABASE_URL</w:t>
            </w:r>
          </w:p>
        </w:tc>
        <w:tc>
          <w:tcPr>
            <w:tcW w:type="dxa" w:w="3600"/>
          </w:tcPr>
          <w:p>
            <w:r/>
            <w:r>
              <w:rPr>
                <w:sz w:val="18"/>
              </w:rPr>
              <w:t>postgresql://user:pass@host:5432/db?sslmode=require</w:t>
            </w:r>
          </w:p>
        </w:tc>
      </w:tr>
      <w:tr>
        <w:tc>
          <w:tcPr>
            <w:tcW w:type="dxa" w:w="3024"/>
          </w:tcPr>
          <w:p>
            <w:r/>
            <w:r>
              <w:rPr>
                <w:sz w:val="18"/>
              </w:rPr>
              <w:t>Session signing key</w:t>
            </w:r>
          </w:p>
        </w:tc>
        <w:tc>
          <w:tcPr>
            <w:tcW w:type="dxa" w:w="3312"/>
          </w:tcPr>
          <w:p>
            <w:r/>
            <w:r>
              <w:rPr>
                <w:sz w:val="18"/>
              </w:rPr>
              <w:t>JWT_SECRET</w:t>
            </w:r>
          </w:p>
        </w:tc>
        <w:tc>
          <w:tcPr>
            <w:tcW w:type="dxa" w:w="3600"/>
          </w:tcPr>
          <w:p>
            <w:r/>
            <w:r>
              <w:rPr>
                <w:sz w:val="18"/>
              </w:rPr>
              <w:t>Long random; unique per env</w:t>
            </w:r>
          </w:p>
        </w:tc>
      </w:tr>
      <w:tr>
        <w:tc>
          <w:tcPr>
            <w:tcW w:type="dxa" w:w="3024"/>
          </w:tcPr>
          <w:p>
            <w:r/>
            <w:r>
              <w:rPr>
                <w:sz w:val="18"/>
              </w:rPr>
              <w:t>At-rest encryption key</w:t>
            </w:r>
          </w:p>
        </w:tc>
        <w:tc>
          <w:tcPr>
            <w:tcW w:type="dxa" w:w="3312"/>
          </w:tcPr>
          <w:p>
            <w:r/>
            <w:r>
              <w:rPr>
                <w:sz w:val="18"/>
              </w:rPr>
              <w:t>SECRETS_KEY</w:t>
            </w:r>
          </w:p>
        </w:tc>
        <w:tc>
          <w:tcPr>
            <w:tcW w:type="dxa" w:w="3600"/>
          </w:tcPr>
          <w:p>
            <w:r/>
            <w:r>
              <w:rPr>
                <w:sz w:val="18"/>
              </w:rPr>
              <w:t>32-byte hex/base64 (openssl rand -hex 32); unique per env</w:t>
            </w:r>
          </w:p>
        </w:tc>
      </w:tr>
      <w:tr>
        <w:tc>
          <w:tcPr>
            <w:tcW w:type="dxa" w:w="3024"/>
          </w:tcPr>
          <w:p>
            <w:r/>
            <w:r>
              <w:rPr>
                <w:sz w:val="18"/>
              </w:rPr>
              <w:t>Entra client secret</w:t>
            </w:r>
          </w:p>
        </w:tc>
        <w:tc>
          <w:tcPr>
            <w:tcW w:type="dxa" w:w="3312"/>
          </w:tcPr>
          <w:p>
            <w:r/>
            <w:r>
              <w:rPr>
                <w:sz w:val="18"/>
              </w:rPr>
              <w:t>AZURE_AD_CLIENT_SECRET</w:t>
            </w:r>
          </w:p>
        </w:tc>
        <w:tc>
          <w:tcPr>
            <w:tcW w:type="dxa" w:w="3600"/>
          </w:tcPr>
          <w:p>
            <w:r/>
            <w:r>
              <w:rPr>
                <w:sz w:val="18"/>
              </w:rPr>
              <w:t>From the app registration</w:t>
            </w:r>
          </w:p>
        </w:tc>
      </w:tr>
      <w:tr>
        <w:tc>
          <w:tcPr>
            <w:tcW w:type="dxa" w:w="3024"/>
          </w:tcPr>
          <w:p>
            <w:r/>
            <w:r>
              <w:rPr>
                <w:sz w:val="18"/>
              </w:rPr>
              <w:t>Azure OpenAI key</w:t>
            </w:r>
          </w:p>
        </w:tc>
        <w:tc>
          <w:tcPr>
            <w:tcW w:type="dxa" w:w="3312"/>
          </w:tcPr>
          <w:p>
            <w:r/>
            <w:r>
              <w:rPr>
                <w:sz w:val="18"/>
              </w:rPr>
              <w:t>AZURE_OPENAI_API_KEY</w:t>
            </w:r>
          </w:p>
        </w:tc>
        <w:tc>
          <w:tcPr>
            <w:tcW w:type="dxa" w:w="3600"/>
          </w:tcPr>
          <w:p>
            <w:r/>
            <w:r>
              <w:rPr>
                <w:sz w:val="18"/>
              </w:rPr>
              <w:t>Optional if using workload identity</w:t>
            </w:r>
          </w:p>
        </w:tc>
      </w:tr>
      <w:tr>
        <w:tc>
          <w:tcPr>
            <w:tcW w:type="dxa" w:w="3024"/>
          </w:tcPr>
          <w:p>
            <w:r/>
            <w:r>
              <w:rPr>
                <w:sz w:val="18"/>
              </w:rPr>
              <w:t>Other AI keys</w:t>
            </w:r>
          </w:p>
        </w:tc>
        <w:tc>
          <w:tcPr>
            <w:tcW w:type="dxa" w:w="3312"/>
          </w:tcPr>
          <w:p>
            <w:r/>
            <w:r>
              <w:rPr>
                <w:sz w:val="18"/>
              </w:rPr>
              <w:t>ANTHROPIC_API_KEY / OPENAI_API_KEY</w:t>
            </w:r>
          </w:p>
        </w:tc>
        <w:tc>
          <w:tcPr>
            <w:tcW w:type="dxa" w:w="3600"/>
          </w:tcPr>
          <w:p>
            <w:r/>
            <w:r>
              <w:rPr>
                <w:sz w:val="18"/>
              </w:rPr>
              <w:t>Only for a non-Azure platform-default provider</w:t>
            </w:r>
          </w:p>
        </w:tc>
      </w:tr>
    </w:tbl>
    <w:p/>
    <w:p>
      <w:r>
        <w:rPr>
          <w:b w:val="0"/>
          <w:i/>
          <w:color w:val="6B7785"/>
        </w:rPr>
        <w:t>Per-app AI/agent keys entered by builders are encrypted with SECRETS_KEY and stored in the database — protect the database accordingly.</w:t>
      </w:r>
    </w:p>
    <w:p>
      <w:r>
        <w:br w:type="page"/>
      </w:r>
    </w:p>
    <w:p>
      <w:pPr>
        <w:pStyle w:val="Heading1"/>
      </w:pPr>
      <w:r>
        <w:t>5. Networking &amp; security</w:t>
      </w:r>
    </w:p>
    <w:p>
      <w:pPr>
        <w:jc w:val="center"/>
      </w:pPr>
      <w:r>
        <w:drawing>
          <wp:inline xmlns:a="http://schemas.openxmlformats.org/drawingml/2006/main" xmlns:pic="http://schemas.openxmlformats.org/drawingml/2006/picture">
            <wp:extent cx="5943600" cy="3526775"/>
            <wp:docPr id="2" name="Picture 2"/>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3600" cy="3526775"/>
                    </a:xfrm>
                    <a:prstGeom prst="rect"/>
                  </pic:spPr>
                </pic:pic>
              </a:graphicData>
            </a:graphic>
          </wp:inline>
        </w:drawing>
      </w:r>
    </w:p>
    <w:p>
      <w:pPr>
        <w:jc w:val="center"/>
      </w:pPr>
      <w:r>
        <w:rPr>
          <w:i/>
          <w:color w:val="6B7785"/>
          <w:sz w:val="18"/>
        </w:rPr>
        <w:t>Figure 2 — Per-environment network topology: VNet subnets, AKS, App Gateway ingress, private endpoints to PaaS, private DNS, and Azure Firewall egress.</w:t>
      </w:r>
    </w:p>
    <w:p>
      <w:pPr>
        <w:pStyle w:val="Heading2"/>
      </w:pPr>
      <w:r>
        <w:t>5.1 Virtual network &amp; subnets (per environment)</w:t>
      </w:r>
    </w:p>
    <w:p>
      <w:r>
        <w:rPr>
          <w:b w:val="0"/>
          <w:i w:val="0"/>
        </w:rPr>
        <w:t>Dedicated VNet per environment (non-overlapping CIDRs). With Azure CNI Overlay, pods use an overlay CIDR and only nodes consume VNet IPs. Example /16 plan:</w:t>
      </w:r>
    </w:p>
    <w:tbl>
      <w:tblPr>
        <w:tblStyle w:val="TableGrid"/>
        <w:tblW w:type="auto" w:w="0"/>
        <w:tblLook w:firstColumn="1" w:firstRow="1" w:lastColumn="0" w:lastRow="0" w:noHBand="0" w:noVBand="1" w:val="04A0"/>
      </w:tblPr>
      <w:tblGrid>
        <w:gridCol w:w="2160"/>
        <w:gridCol w:w="2160"/>
        <w:gridCol w:w="2160"/>
        <w:gridCol w:w="2160"/>
      </w:tblGrid>
      <w:tr>
        <w:tc>
          <w:tcPr>
            <w:tcW w:type="dxa" w:w="2448"/>
          </w:tcPr>
          <w:p>
            <w:pPr>
              <w:shd w:val="clear" w:fill="3A64F0"/>
            </w:pPr>
            <w:r/>
            <w:r>
              <w:rPr>
                <w:b/>
                <w:color w:val="FFFFFF"/>
                <w:sz w:val="18"/>
              </w:rPr>
              <w:t>Subnet</w:t>
            </w:r>
          </w:p>
        </w:tc>
        <w:tc>
          <w:tcPr>
            <w:tcW w:type="dxa" w:w="2016"/>
          </w:tcPr>
          <w:p>
            <w:pPr>
              <w:shd w:val="clear" w:fill="3A64F0"/>
            </w:pPr>
            <w:r/>
            <w:r>
              <w:rPr>
                <w:b/>
                <w:color w:val="FFFFFF"/>
                <w:sz w:val="18"/>
              </w:rPr>
              <w:t>Example CIDR</w:t>
            </w:r>
          </w:p>
        </w:tc>
        <w:tc>
          <w:tcPr>
            <w:tcW w:type="dxa" w:w="3456"/>
          </w:tcPr>
          <w:p>
            <w:pPr>
              <w:shd w:val="clear" w:fill="3A64F0"/>
            </w:pPr>
            <w:r/>
            <w:r>
              <w:rPr>
                <w:b/>
                <w:color w:val="FFFFFF"/>
                <w:sz w:val="18"/>
              </w:rPr>
              <w:t>Purpose</w:t>
            </w:r>
          </w:p>
        </w:tc>
        <w:tc>
          <w:tcPr>
            <w:tcW w:type="dxa" w:w="2592"/>
          </w:tcPr>
          <w:p>
            <w:pPr>
              <w:shd w:val="clear" w:fill="3A64F0"/>
            </w:pPr>
            <w:r/>
            <w:r>
              <w:rPr>
                <w:b/>
                <w:color w:val="FFFFFF"/>
                <w:sz w:val="18"/>
              </w:rPr>
              <w:t>Notes</w:t>
            </w:r>
          </w:p>
        </w:tc>
      </w:tr>
      <w:tr>
        <w:tc>
          <w:tcPr>
            <w:tcW w:type="dxa" w:w="2448"/>
          </w:tcPr>
          <w:p>
            <w:r/>
            <w:r>
              <w:rPr>
                <w:sz w:val="18"/>
              </w:rPr>
              <w:t>snet-aks-nodes</w:t>
            </w:r>
          </w:p>
        </w:tc>
        <w:tc>
          <w:tcPr>
            <w:tcW w:type="dxa" w:w="2016"/>
          </w:tcPr>
          <w:p>
            <w:r/>
            <w:r>
              <w:rPr>
                <w:sz w:val="18"/>
              </w:rPr>
              <w:t>10.x.0.0/22</w:t>
            </w:r>
          </w:p>
        </w:tc>
        <w:tc>
          <w:tcPr>
            <w:tcW w:type="dxa" w:w="3456"/>
          </w:tcPr>
          <w:p>
            <w:r/>
            <w:r>
              <w:rPr>
                <w:sz w:val="18"/>
              </w:rPr>
              <w:t>AKS node pools (system + user)</w:t>
            </w:r>
          </w:p>
        </w:tc>
        <w:tc>
          <w:tcPr>
            <w:tcW w:type="dxa" w:w="2592"/>
          </w:tcPr>
          <w:p>
            <w:r/>
            <w:r>
              <w:rPr>
                <w:sz w:val="18"/>
              </w:rPr>
              <w:t>Azure CNI Overlay; pod CIDR e.g. 10.244.0.0/16</w:t>
            </w:r>
          </w:p>
        </w:tc>
      </w:tr>
      <w:tr>
        <w:tc>
          <w:tcPr>
            <w:tcW w:type="dxa" w:w="2448"/>
          </w:tcPr>
          <w:p>
            <w:r/>
            <w:r>
              <w:rPr>
                <w:sz w:val="18"/>
              </w:rPr>
              <w:t>snet-pe</w:t>
            </w:r>
          </w:p>
        </w:tc>
        <w:tc>
          <w:tcPr>
            <w:tcW w:type="dxa" w:w="2016"/>
          </w:tcPr>
          <w:p>
            <w:r/>
            <w:r>
              <w:rPr>
                <w:sz w:val="18"/>
              </w:rPr>
              <w:t>10.x.4.0/24</w:t>
            </w:r>
          </w:p>
        </w:tc>
        <w:tc>
          <w:tcPr>
            <w:tcW w:type="dxa" w:w="3456"/>
          </w:tcPr>
          <w:p>
            <w:r/>
            <w:r>
              <w:rPr>
                <w:sz w:val="18"/>
              </w:rPr>
              <w:t>Private endpoints (DB, KV, ACR, OpenAI)</w:t>
            </w:r>
          </w:p>
        </w:tc>
        <w:tc>
          <w:tcPr>
            <w:tcW w:type="dxa" w:w="2592"/>
          </w:tcPr>
          <w:p>
            <w:r/>
            <w:r>
              <w:rPr>
                <w:sz w:val="18"/>
              </w:rPr>
              <w:t>—</w:t>
            </w:r>
          </w:p>
        </w:tc>
      </w:tr>
      <w:tr>
        <w:tc>
          <w:tcPr>
            <w:tcW w:type="dxa" w:w="2448"/>
          </w:tcPr>
          <w:p>
            <w:r/>
            <w:r>
              <w:rPr>
                <w:sz w:val="18"/>
              </w:rPr>
              <w:t>snet-pg</w:t>
            </w:r>
          </w:p>
        </w:tc>
        <w:tc>
          <w:tcPr>
            <w:tcW w:type="dxa" w:w="2016"/>
          </w:tcPr>
          <w:p>
            <w:r/>
            <w:r>
              <w:rPr>
                <w:sz w:val="18"/>
              </w:rPr>
              <w:t>10.x.5.0/24</w:t>
            </w:r>
          </w:p>
        </w:tc>
        <w:tc>
          <w:tcPr>
            <w:tcW w:type="dxa" w:w="3456"/>
          </w:tcPr>
          <w:p>
            <w:r/>
            <w:r>
              <w:rPr>
                <w:sz w:val="18"/>
              </w:rPr>
              <w:t>PostgreSQL Flexible Server (VNet-integrated)</w:t>
            </w:r>
          </w:p>
        </w:tc>
        <w:tc>
          <w:tcPr>
            <w:tcW w:type="dxa" w:w="2592"/>
          </w:tcPr>
          <w:p>
            <w:r/>
            <w:r>
              <w:rPr>
                <w:sz w:val="18"/>
              </w:rPr>
              <w:t>Delegated to flexibleServers</w:t>
            </w:r>
          </w:p>
        </w:tc>
      </w:tr>
      <w:tr>
        <w:tc>
          <w:tcPr>
            <w:tcW w:type="dxa" w:w="2448"/>
          </w:tcPr>
          <w:p>
            <w:r/>
            <w:r>
              <w:rPr>
                <w:sz w:val="18"/>
              </w:rPr>
              <w:t>snet-agw</w:t>
            </w:r>
          </w:p>
        </w:tc>
        <w:tc>
          <w:tcPr>
            <w:tcW w:type="dxa" w:w="2016"/>
          </w:tcPr>
          <w:p>
            <w:r/>
            <w:r>
              <w:rPr>
                <w:sz w:val="18"/>
              </w:rPr>
              <w:t>10.x.6.0/24</w:t>
            </w:r>
          </w:p>
        </w:tc>
        <w:tc>
          <w:tcPr>
            <w:tcW w:type="dxa" w:w="3456"/>
          </w:tcPr>
          <w:p>
            <w:r/>
            <w:r>
              <w:rPr>
                <w:sz w:val="18"/>
              </w:rPr>
              <w:t>Application Gateway (AGIC + WAF_v2)</w:t>
            </w:r>
          </w:p>
        </w:tc>
        <w:tc>
          <w:tcPr>
            <w:tcW w:type="dxa" w:w="2592"/>
          </w:tcPr>
          <w:p>
            <w:r/>
            <w:r>
              <w:rPr>
                <w:sz w:val="18"/>
              </w:rPr>
              <w:t>Ingress tier</w:t>
            </w:r>
          </w:p>
        </w:tc>
      </w:tr>
      <w:tr>
        <w:tc>
          <w:tcPr>
            <w:tcW w:type="dxa" w:w="2448"/>
          </w:tcPr>
          <w:p>
            <w:r/>
            <w:r>
              <w:rPr>
                <w:sz w:val="18"/>
              </w:rPr>
              <w:t>AzureFirewallSubnet</w:t>
            </w:r>
          </w:p>
        </w:tc>
        <w:tc>
          <w:tcPr>
            <w:tcW w:type="dxa" w:w="2016"/>
          </w:tcPr>
          <w:p>
            <w:r/>
            <w:r>
              <w:rPr>
                <w:sz w:val="18"/>
              </w:rPr>
              <w:t>10.x.7.0/26</w:t>
            </w:r>
          </w:p>
        </w:tc>
        <w:tc>
          <w:tcPr>
            <w:tcW w:type="dxa" w:w="3456"/>
          </w:tcPr>
          <w:p>
            <w:r/>
            <w:r>
              <w:rPr>
                <w:sz w:val="18"/>
              </w:rPr>
              <w:t>Azure Firewall (egress control)</w:t>
            </w:r>
          </w:p>
        </w:tc>
        <w:tc>
          <w:tcPr>
            <w:tcW w:type="dxa" w:w="2592"/>
          </w:tcPr>
          <w:p>
            <w:r/>
            <w:r>
              <w:rPr>
                <w:sz w:val="18"/>
              </w:rPr>
              <w:t>UDR forces 0.0.0.0/0 → firewall</w:t>
            </w:r>
          </w:p>
        </w:tc>
      </w:tr>
    </w:tbl>
    <w:p/>
    <w:p>
      <w:pPr>
        <w:pStyle w:val="Heading2"/>
      </w:pPr>
      <w:r>
        <w:t>5.2 Cluster networking</w:t>
      </w:r>
    </w:p>
    <w:p>
      <w:pPr>
        <w:pStyle w:val="ListBullet"/>
      </w:pPr>
      <w:r>
        <w:rPr>
          <w:b/>
        </w:rPr>
        <w:t xml:space="preserve">Private cluster. </w:t>
      </w:r>
      <w:r>
        <w:t>Enable a private API server (or authorized IP ranges) so the control plane isn't public.</w:t>
      </w:r>
    </w:p>
    <w:p>
      <w:pPr>
        <w:pStyle w:val="ListBullet"/>
      </w:pPr>
      <w:r>
        <w:rPr>
          <w:b/>
        </w:rPr>
        <w:t xml:space="preserve">Data plane. </w:t>
      </w:r>
      <w:r>
        <w:t>Azure CNI Overlay (efficient IPs); enable a Network Policy engine (Cilium or Azure NPM) and apply namespace/pod policies (default-deny + explicit allows).</w:t>
      </w:r>
    </w:p>
    <w:p>
      <w:pPr>
        <w:pStyle w:val="ListBullet"/>
      </w:pPr>
      <w:r>
        <w:rPr>
          <w:b/>
        </w:rPr>
        <w:t xml:space="preserve">Egress. </w:t>
      </w:r>
      <w:r>
        <w:t>outboundType=userDefinedRouting with a UDR sending 0.0.0.0/0 to Azure Firewall; add application rules for required FQDNs (ACR, Azure Monitor, login.microsoftonline.com, graph.microsoft.com, and approved data sources). Alternatively a NAT Gateway for a stable egress IP without FQDN filtering.</w:t>
      </w:r>
    </w:p>
    <w:p>
      <w:pPr>
        <w:pStyle w:val="Heading2"/>
      </w:pPr>
      <w:r>
        <w:t>5.3 Private endpoints &amp; private DNS zones</w:t>
      </w:r>
    </w:p>
    <w:tbl>
      <w:tblPr>
        <w:tblStyle w:val="TableGrid"/>
        <w:tblW w:type="auto" w:w="0"/>
        <w:tblLook w:firstColumn="1" w:firstRow="1" w:lastColumn="0" w:lastRow="0" w:noHBand="0" w:noVBand="1" w:val="04A0"/>
      </w:tblPr>
      <w:tblGrid>
        <w:gridCol w:w="4320"/>
        <w:gridCol w:w="4320"/>
      </w:tblGrid>
      <w:tr>
        <w:tc>
          <w:tcPr>
            <w:tcW w:type="dxa" w:w="4320"/>
          </w:tcPr>
          <w:p>
            <w:pPr>
              <w:shd w:val="clear" w:fill="3A64F0"/>
            </w:pPr>
            <w:r/>
            <w:r>
              <w:rPr>
                <w:b/>
                <w:color w:val="FFFFFF"/>
                <w:sz w:val="18"/>
              </w:rPr>
              <w:t>Service</w:t>
            </w:r>
          </w:p>
        </w:tc>
        <w:tc>
          <w:tcPr>
            <w:tcW w:type="dxa" w:w="5040"/>
          </w:tcPr>
          <w:p>
            <w:pPr>
              <w:shd w:val="clear" w:fill="3A64F0"/>
            </w:pPr>
            <w:r/>
            <w:r>
              <w:rPr>
                <w:b/>
                <w:color w:val="FFFFFF"/>
                <w:sz w:val="18"/>
              </w:rPr>
              <w:t>Private DNS zone</w:t>
            </w:r>
          </w:p>
        </w:tc>
      </w:tr>
      <w:tr>
        <w:tc>
          <w:tcPr>
            <w:tcW w:type="dxa" w:w="4320"/>
          </w:tcPr>
          <w:p>
            <w:r/>
            <w:r>
              <w:rPr>
                <w:sz w:val="18"/>
              </w:rPr>
              <w:t>PostgreSQL Flexible Server</w:t>
            </w:r>
          </w:p>
        </w:tc>
        <w:tc>
          <w:tcPr>
            <w:tcW w:type="dxa" w:w="5040"/>
          </w:tcPr>
          <w:p>
            <w:r/>
            <w:r>
              <w:rPr>
                <w:sz w:val="18"/>
              </w:rPr>
              <w:t>privatelink.postgres.database.azure.com</w:t>
            </w:r>
          </w:p>
        </w:tc>
      </w:tr>
      <w:tr>
        <w:tc>
          <w:tcPr>
            <w:tcW w:type="dxa" w:w="4320"/>
          </w:tcPr>
          <w:p>
            <w:r/>
            <w:r>
              <w:rPr>
                <w:sz w:val="18"/>
              </w:rPr>
              <w:t>Key Vault</w:t>
            </w:r>
          </w:p>
        </w:tc>
        <w:tc>
          <w:tcPr>
            <w:tcW w:type="dxa" w:w="5040"/>
          </w:tcPr>
          <w:p>
            <w:r/>
            <w:r>
              <w:rPr>
                <w:sz w:val="18"/>
              </w:rPr>
              <w:t>privatelink.vaultcore.azure.net</w:t>
            </w:r>
          </w:p>
        </w:tc>
      </w:tr>
      <w:tr>
        <w:tc>
          <w:tcPr>
            <w:tcW w:type="dxa" w:w="4320"/>
          </w:tcPr>
          <w:p>
            <w:r/>
            <w:r>
              <w:rPr>
                <w:sz w:val="18"/>
              </w:rPr>
              <w:t>Container Registry</w:t>
            </w:r>
          </w:p>
        </w:tc>
        <w:tc>
          <w:tcPr>
            <w:tcW w:type="dxa" w:w="5040"/>
          </w:tcPr>
          <w:p>
            <w:r/>
            <w:r>
              <w:rPr>
                <w:sz w:val="18"/>
              </w:rPr>
              <w:t>privatelink.azurecr.io</w:t>
            </w:r>
          </w:p>
        </w:tc>
      </w:tr>
      <w:tr>
        <w:tc>
          <w:tcPr>
            <w:tcW w:type="dxa" w:w="4320"/>
          </w:tcPr>
          <w:p>
            <w:r/>
            <w:r>
              <w:rPr>
                <w:sz w:val="18"/>
              </w:rPr>
              <w:t>Azure OpenAI</w:t>
            </w:r>
          </w:p>
        </w:tc>
        <w:tc>
          <w:tcPr>
            <w:tcW w:type="dxa" w:w="5040"/>
          </w:tcPr>
          <w:p>
            <w:r/>
            <w:r>
              <w:rPr>
                <w:sz w:val="18"/>
              </w:rPr>
              <w:t>privatelink.openai.azure.com</w:t>
            </w:r>
          </w:p>
        </w:tc>
      </w:tr>
    </w:tbl>
    <w:p/>
    <w:p>
      <w:pPr>
        <w:pStyle w:val="Heading2"/>
      </w:pPr>
      <w:r>
        <w:t>5.4 Ingress, TLS &amp; SSRF</w:t>
      </w:r>
    </w:p>
    <w:p>
      <w:pPr>
        <w:pStyle w:val="ListBullet"/>
      </w:pPr>
      <w:r>
        <w:rPr>
          <w:b/>
        </w:rPr>
        <w:t xml:space="preserve">Ingress. </w:t>
      </w:r>
      <w:r>
        <w:t>App Gateway Ingress Controller (WAF_v2) terminates TLS and routes the host: / → front-end Service, /api/* → API Service. Serving both on one host keeps auth cookies same-site (no CORS). Front Door can sit in front for global edge/WAF if desired.</w:t>
      </w:r>
    </w:p>
    <w:p>
      <w:pPr>
        <w:pStyle w:val="ListBullet"/>
      </w:pPr>
      <w:r>
        <w:rPr>
          <w:b/>
        </w:rPr>
        <w:t xml:space="preserve">WAF. </w:t>
      </w:r>
      <w:r>
        <w:t>Detection mode for Dev/Test; Prevention for Prod.</w:t>
      </w:r>
    </w:p>
    <w:p>
      <w:pPr>
        <w:pStyle w:val="ListBullet"/>
      </w:pPr>
      <w:r>
        <w:rPr>
          <w:b/>
        </w:rPr>
        <w:t xml:space="preserve">TLS. </w:t>
      </w:r>
      <w:r>
        <w:t>App Gateway listener certificate from Key Vault, or cert-manager (Let's Encrypt) inside the cluster.</w:t>
      </w:r>
    </w:p>
    <w:p>
      <w:pPr>
        <w:pStyle w:val="ListBullet"/>
      </w:pPr>
      <w:r>
        <w:rPr>
          <w:b/>
        </w:rPr>
        <w:t xml:space="preserve">SSRF guard. </w:t>
      </w:r>
      <w:r>
        <w:t>UIFactory blocks REST/agent/LLM URLs resolving to private/reserved IPs. Allow specific internal sources via OUTBOUND_ALLOWLIST rather than disabling the check; keep blocking enabled in prod.</w:t>
      </w:r>
    </w:p>
    <w:p>
      <w:r>
        <w:br w:type="page"/>
      </w:r>
    </w:p>
    <w:p>
      <w:pPr>
        <w:pStyle w:val="Heading1"/>
      </w:pPr>
      <w:r>
        <w:t>6. Data tier — Azure Database for PostgreSQL</w:t>
      </w:r>
    </w:p>
    <w:p>
      <w:pPr>
        <w:pStyle w:val="ListBullet"/>
      </w:pPr>
      <w:r>
        <w:rPr>
          <w:b/>
        </w:rPr>
        <w:t xml:space="preserve">Deployment. </w:t>
      </w:r>
      <w:r>
        <w:t>Flexible Server, VNet-integrated (private), TLS required, Entra admin enabled.</w:t>
      </w:r>
    </w:p>
    <w:p>
      <w:pPr>
        <w:pStyle w:val="ListBullet"/>
      </w:pPr>
      <w:r>
        <w:rPr>
          <w:b/>
        </w:rPr>
        <w:t xml:space="preserve">Sizing. </w:t>
      </w:r>
      <w:r>
        <w:t>Burstable for Dev/Test; General Purpose + Zone-redundant HA for Prod.</w:t>
      </w:r>
    </w:p>
    <w:p>
      <w:pPr>
        <w:pStyle w:val="ListBullet"/>
      </w:pPr>
      <w:r>
        <w:rPr>
          <w:b/>
        </w:rPr>
        <w:t xml:space="preserve">Backups. </w:t>
      </w:r>
      <w:r>
        <w:t>7 days (Dev) → 14 (Test) → 35 days geo-redundant (Prod).</w:t>
      </w:r>
    </w:p>
    <w:p>
      <w:pPr>
        <w:pStyle w:val="ListBullet"/>
      </w:pPr>
      <w:r>
        <w:rPr>
          <w:b/>
        </w:rPr>
        <w:t xml:space="preserve">Migrations. </w:t>
      </w:r>
      <w:r>
        <w:t>Run `prisma migrate deploy` as a Helm pre-upgrade hook Job (Appendix D) — once per release, not per replica.</w:t>
      </w:r>
    </w:p>
    <w:p>
      <w:pPr>
        <w:pStyle w:val="ListBullet"/>
      </w:pPr>
      <w:r>
        <w:rPr>
          <w:b/>
        </w:rPr>
        <w:t xml:space="preserve">Least privilege. </w:t>
      </w:r>
      <w:r>
        <w:t>Dedicated application role; never the server admin in the app connection string.</w:t>
      </w:r>
    </w:p>
    <w:p>
      <w:r>
        <w:br w:type="page"/>
      </w:r>
    </w:p>
    <w:p>
      <w:pPr>
        <w:pStyle w:val="Heading1"/>
      </w:pPr>
      <w:r>
        <w:t>7. AI services</w:t>
      </w:r>
    </w:p>
    <w:p>
      <w:pPr>
        <w:pStyle w:val="ListBullet"/>
      </w:pPr>
      <w:r>
        <w:rPr>
          <w:b/>
        </w:rPr>
        <w:t xml:space="preserve">Azure OpenAI. </w:t>
      </w:r>
      <w:r>
        <w:t>Per-environment resource (or shared with per-env quota); deploy chat model(s); set AZURE_OPENAI_ENDPOINT/DEPLOYMENT/API_VERSION. Prefer workload-identity access; else key in Key Vault.</w:t>
      </w:r>
    </w:p>
    <w:p>
      <w:pPr>
        <w:pStyle w:val="ListBullet"/>
      </w:pPr>
      <w:r>
        <w:rPr>
          <w:b/>
        </w:rPr>
        <w:t xml:space="preserve">Provider flexibility. </w:t>
      </w:r>
      <w:r>
        <w:t>AI_PROVIDER selects anthropic | openai | azure-openai (auto-detected). Apps can override with their own provider key or an external agent API URL.</w:t>
      </w:r>
    </w:p>
    <w:p>
      <w:pPr>
        <w:pStyle w:val="ListBullet"/>
      </w:pPr>
      <w:r>
        <w:rPr>
          <w:b/>
        </w:rPr>
        <w:t xml:space="preserve">Private access. </w:t>
      </w:r>
      <w:r>
        <w:t>Private endpoint + public network access disabled on the Azure OpenAI resource.</w:t>
      </w:r>
    </w:p>
    <w:p>
      <w:pPr>
        <w:pStyle w:val="ListBullet"/>
      </w:pPr>
      <w:r>
        <w:rPr>
          <w:b/>
        </w:rPr>
        <w:t xml:space="preserve">Limits. </w:t>
      </w:r>
      <w:r>
        <w:t>Set TPM quotas per env; consider APIM/Front Door rate limiting for AI-heavy public apps.</w:t>
      </w:r>
    </w:p>
    <w:p>
      <w:r>
        <w:br w:type="page"/>
      </w:r>
    </w:p>
    <w:p>
      <w:pPr>
        <w:pStyle w:val="Heading1"/>
      </w:pPr>
      <w:r>
        <w:t>8. AKS cluster &amp; workloads</w:t>
      </w:r>
    </w:p>
    <w:p>
      <w:pPr>
        <w:pStyle w:val="Heading2"/>
      </w:pPr>
      <w:r>
        <w:t>8.1 Cluster</w:t>
      </w:r>
    </w:p>
    <w:p>
      <w:pPr>
        <w:pStyle w:val="ListBullet"/>
      </w:pPr>
      <w:r>
        <w:rPr>
          <w:b/>
        </w:rPr>
        <w:t xml:space="preserve">Node pools. </w:t>
      </w:r>
      <w:r>
        <w:t>A system pool (CriticalAddonsOnly taint) and one or more user pools; enable the cluster autoscaler.</w:t>
      </w:r>
    </w:p>
    <w:p>
      <w:pPr>
        <w:pStyle w:val="ListBullet"/>
      </w:pPr>
      <w:r>
        <w:rPr>
          <w:b/>
        </w:rPr>
        <w:t xml:space="preserve">Add-ons. </w:t>
      </w:r>
      <w:r>
        <w:t>OIDC issuer + Workload Identity, azure-keyvault-secrets-provider (CSI), ingress-appgw (AGIC), and Container Insights monitoring.</w:t>
      </w:r>
    </w:p>
    <w:p>
      <w:pPr>
        <w:pStyle w:val="ListBullet"/>
      </w:pPr>
      <w:r>
        <w:rPr>
          <w:b/>
        </w:rPr>
        <w:t xml:space="preserve">Upgrades. </w:t>
      </w:r>
      <w:r>
        <w:t>Use a release channel and maintenance windows; PodDisruptionBudgets to keep replicas during node drains.</w:t>
      </w:r>
    </w:p>
    <w:p>
      <w:pPr>
        <w:pStyle w:val="ListBullet"/>
      </w:pPr>
      <w:r>
        <w:rPr>
          <w:b/>
        </w:rPr>
        <w:t xml:space="preserve">Security. </w:t>
      </w:r>
      <w:r>
        <w:t>Azure RBAC for Kubernetes, Entra-integrated admin, Azure Policy for AKS (pod security baseline), read-only root FS / non-root containers where possible.</w:t>
      </w:r>
    </w:p>
    <w:p>
      <w:pPr>
        <w:pStyle w:val="Heading2"/>
      </w:pPr>
      <w:r>
        <w:t>8.2 Namespaces &amp; workloads</w:t>
      </w:r>
    </w:p>
    <w:p>
      <w:pPr>
        <w:pStyle w:val="ListBullet"/>
      </w:pPr>
      <w:r>
        <w:rPr>
          <w:b/>
        </w:rPr>
        <w:t xml:space="preserve">Namespace. </w:t>
      </w:r>
      <w:r>
        <w:t>One namespace per app/env (e.g. uifactory) with ResourceQuota and LimitRange.</w:t>
      </w:r>
    </w:p>
    <w:p>
      <w:pPr>
        <w:pStyle w:val="ListBullet"/>
      </w:pPr>
      <w:r>
        <w:rPr>
          <w:b/>
        </w:rPr>
        <w:t xml:space="preserve">API Deployment. </w:t>
      </w:r>
      <w:r>
        <w:t>2+ replicas (prod), requests/limits set, HPA on CPU/▸ or HTTP metrics, topology spread across zones, ServiceAccount bound to the workload identity, env from the CSI-synced secret.</w:t>
      </w:r>
    </w:p>
    <w:p>
      <w:pPr>
        <w:pStyle w:val="ListBullet"/>
      </w:pPr>
      <w:r>
        <w:rPr>
          <w:b/>
        </w:rPr>
        <w:t xml:space="preserve">Front-end Deployment. </w:t>
      </w:r>
      <w:r>
        <w:t>nginx serving the built SPA (or host on Static Web Apps and skip this pod).</w:t>
      </w:r>
    </w:p>
    <w:p>
      <w:pPr>
        <w:pStyle w:val="ListBullet"/>
      </w:pPr>
      <w:r>
        <w:rPr>
          <w:b/>
        </w:rPr>
        <w:t xml:space="preserve">Services. </w:t>
      </w:r>
      <w:r>
        <w:t>ClusterIP for both; the Ingress exposes them on the public host.</w:t>
      </w:r>
    </w:p>
    <w:p>
      <w:pPr>
        <w:pStyle w:val="ListBullet"/>
      </w:pPr>
      <w:r>
        <w:rPr>
          <w:b/>
        </w:rPr>
        <w:t xml:space="preserve">Config. </w:t>
      </w:r>
      <w:r>
        <w:t>Non-secret env via ConfigMap; secrets via SecretProviderClass → Kubernetes Secret.</w:t>
      </w:r>
    </w:p>
    <w:p>
      <w:r>
        <w:br w:type="page"/>
      </w:r>
    </w:p>
    <w:p>
      <w:pPr>
        <w:pStyle w:val="Heading1"/>
      </w:pPr>
      <w:r>
        <w:t>9. Multi-environment strategy (Dev → Test → Prod)</w:t>
      </w:r>
    </w:p>
    <w:p>
      <w:pPr>
        <w:pStyle w:val="ListBullet"/>
      </w:pPr>
      <w:r>
        <w:rPr>
          <w:b/>
        </w:rPr>
        <w:t xml:space="preserve">Isolation. </w:t>
      </w:r>
      <w:r>
        <w:t>Recommended: a separate AKS cluster (and VNet, Key Vault, PostgreSQL, Azure OpenAI) per environment, with Prod in its own subscription. Lower-cost option: one cluster with a namespace per environment for Dev/Test, and a dedicated cluster for Prod.</w:t>
      </w:r>
    </w:p>
    <w:p>
      <w:pPr>
        <w:pStyle w:val="ListBullet"/>
      </w:pPr>
      <w:r>
        <w:rPr>
          <w:b/>
        </w:rPr>
        <w:t xml:space="preserve">Naming. </w:t>
      </w:r>
      <w:r>
        <w:t>rg-uifactory-&lt;env&gt;, aks-uifactory-&lt;env&gt;, pg-uifactory-&lt;env&gt;, kv-uifactory-&lt;env&gt; (+region/instance suffix).</w:t>
      </w:r>
    </w:p>
    <w:p>
      <w:pPr>
        <w:pStyle w:val="ListBullet"/>
      </w:pPr>
      <w:r>
        <w:rPr>
          <w:b/>
        </w:rPr>
        <w:t xml:space="preserve">Config. </w:t>
      </w:r>
      <w:r>
        <w:t>One Helm chart with per-env values files (values-dev/test/prod.yaml); infra via Bicep/Terraform params.</w:t>
      </w:r>
    </w:p>
    <w:p>
      <w:pPr>
        <w:pStyle w:val="ListBullet"/>
      </w:pPr>
      <w:r>
        <w:rPr>
          <w:b/>
        </w:rPr>
        <w:t xml:space="preserve">Promotion. </w:t>
      </w:r>
      <w:r>
        <w:t>The same image digest flows Dev → Test → Prod; only values differ. Prod requires manual approval.</w:t>
      </w:r>
    </w:p>
    <w:p>
      <w:pPr>
        <w:pStyle w:val="Heading2"/>
      </w:pPr>
      <w:r>
        <w:t>9.1 Environment configuration matrix</w:t>
      </w:r>
    </w:p>
    <w:tbl>
      <w:tblPr>
        <w:tblStyle w:val="TableGrid"/>
        <w:tblW w:type="auto" w:w="0"/>
        <w:tblLook w:firstColumn="1" w:firstRow="1" w:lastColumn="0" w:lastRow="0" w:noHBand="0" w:noVBand="1" w:val="04A0"/>
      </w:tblPr>
      <w:tblGrid>
        <w:gridCol w:w="2160"/>
        <w:gridCol w:w="2160"/>
        <w:gridCol w:w="2160"/>
        <w:gridCol w:w="2160"/>
      </w:tblGrid>
      <w:tr>
        <w:tc>
          <w:tcPr>
            <w:tcW w:type="dxa" w:w="2448"/>
          </w:tcPr>
          <w:p>
            <w:pPr>
              <w:shd w:val="clear" w:fill="3A64F0"/>
            </w:pPr>
            <w:r/>
            <w:r>
              <w:rPr>
                <w:b/>
                <w:color w:val="FFFFFF"/>
                <w:sz w:val="18"/>
              </w:rPr>
              <w:t>Aspect</w:t>
            </w:r>
          </w:p>
        </w:tc>
        <w:tc>
          <w:tcPr>
            <w:tcW w:type="dxa" w:w="2304"/>
          </w:tcPr>
          <w:p>
            <w:pPr>
              <w:shd w:val="clear" w:fill="3A64F0"/>
            </w:pPr>
            <w:r/>
            <w:r>
              <w:rPr>
                <w:b/>
                <w:color w:val="FFFFFF"/>
                <w:sz w:val="18"/>
              </w:rPr>
              <w:t>Dev</w:t>
            </w:r>
          </w:p>
        </w:tc>
        <w:tc>
          <w:tcPr>
            <w:tcW w:type="dxa" w:w="2304"/>
          </w:tcPr>
          <w:p>
            <w:pPr>
              <w:shd w:val="clear" w:fill="3A64F0"/>
            </w:pPr>
            <w:r/>
            <w:r>
              <w:rPr>
                <w:b/>
                <w:color w:val="FFFFFF"/>
                <w:sz w:val="18"/>
              </w:rPr>
              <w:t>Test</w:t>
            </w:r>
          </w:p>
        </w:tc>
        <w:tc>
          <w:tcPr>
            <w:tcW w:type="dxa" w:w="2736"/>
          </w:tcPr>
          <w:p>
            <w:pPr>
              <w:shd w:val="clear" w:fill="3A64F0"/>
            </w:pPr>
            <w:r/>
            <w:r>
              <w:rPr>
                <w:b/>
                <w:color w:val="FFFFFF"/>
                <w:sz w:val="18"/>
              </w:rPr>
              <w:t>Prod</w:t>
            </w:r>
          </w:p>
        </w:tc>
      </w:tr>
      <w:tr>
        <w:tc>
          <w:tcPr>
            <w:tcW w:type="dxa" w:w="2448"/>
          </w:tcPr>
          <w:p>
            <w:r/>
            <w:r>
              <w:rPr>
                <w:sz w:val="18"/>
              </w:rPr>
              <w:t>Resource group / subscription</w:t>
            </w:r>
          </w:p>
        </w:tc>
        <w:tc>
          <w:tcPr>
            <w:tcW w:type="dxa" w:w="2304"/>
          </w:tcPr>
          <w:p>
            <w:r/>
            <w:r>
              <w:rPr>
                <w:sz w:val="18"/>
              </w:rPr>
              <w:t>rg-uifactory-dev</w:t>
            </w:r>
          </w:p>
        </w:tc>
        <w:tc>
          <w:tcPr>
            <w:tcW w:type="dxa" w:w="2304"/>
          </w:tcPr>
          <w:p>
            <w:r/>
            <w:r>
              <w:rPr>
                <w:sz w:val="18"/>
              </w:rPr>
              <w:t>rg-uifactory-test</w:t>
            </w:r>
          </w:p>
        </w:tc>
        <w:tc>
          <w:tcPr>
            <w:tcW w:type="dxa" w:w="2736"/>
          </w:tcPr>
          <w:p>
            <w:r/>
            <w:r>
              <w:rPr>
                <w:sz w:val="18"/>
              </w:rPr>
              <w:t>rg-uifactory-prod (own subscription)</w:t>
            </w:r>
          </w:p>
        </w:tc>
      </w:tr>
      <w:tr>
        <w:tc>
          <w:tcPr>
            <w:tcW w:type="dxa" w:w="2448"/>
          </w:tcPr>
          <w:p>
            <w:r/>
            <w:r>
              <w:rPr>
                <w:sz w:val="18"/>
              </w:rPr>
              <w:t>AKS topology</w:t>
            </w:r>
          </w:p>
        </w:tc>
        <w:tc>
          <w:tcPr>
            <w:tcW w:type="dxa" w:w="2304"/>
          </w:tcPr>
          <w:p>
            <w:r/>
            <w:r>
              <w:rPr>
                <w:sz w:val="18"/>
              </w:rPr>
              <w:t>Shared cluster, namespace</w:t>
            </w:r>
          </w:p>
        </w:tc>
        <w:tc>
          <w:tcPr>
            <w:tcW w:type="dxa" w:w="2304"/>
          </w:tcPr>
          <w:p>
            <w:r/>
            <w:r>
              <w:rPr>
                <w:sz w:val="18"/>
              </w:rPr>
              <w:t>Shared cluster, namespace</w:t>
            </w:r>
          </w:p>
        </w:tc>
        <w:tc>
          <w:tcPr>
            <w:tcW w:type="dxa" w:w="2736"/>
          </w:tcPr>
          <w:p>
            <w:r/>
            <w:r>
              <w:rPr>
                <w:sz w:val="18"/>
              </w:rPr>
              <w:t>Dedicated cluster, multi-zone</w:t>
            </w:r>
          </w:p>
        </w:tc>
      </w:tr>
      <w:tr>
        <w:tc>
          <w:tcPr>
            <w:tcW w:type="dxa" w:w="2448"/>
          </w:tcPr>
          <w:p>
            <w:r/>
            <w:r>
              <w:rPr>
                <w:sz w:val="18"/>
              </w:rPr>
              <w:t>API replicas / HPA</w:t>
            </w:r>
          </w:p>
        </w:tc>
        <w:tc>
          <w:tcPr>
            <w:tcW w:type="dxa" w:w="2304"/>
          </w:tcPr>
          <w:p>
            <w:r/>
            <w:r>
              <w:rPr>
                <w:sz w:val="18"/>
              </w:rPr>
              <w:t>1, min 1</w:t>
            </w:r>
          </w:p>
        </w:tc>
        <w:tc>
          <w:tcPr>
            <w:tcW w:type="dxa" w:w="2304"/>
          </w:tcPr>
          <w:p>
            <w:r/>
            <w:r>
              <w:rPr>
                <w:sz w:val="18"/>
              </w:rPr>
              <w:t>2, 2–4</w:t>
            </w:r>
          </w:p>
        </w:tc>
        <w:tc>
          <w:tcPr>
            <w:tcW w:type="dxa" w:w="2736"/>
          </w:tcPr>
          <w:p>
            <w:r/>
            <w:r>
              <w:rPr>
                <w:sz w:val="18"/>
              </w:rPr>
              <w:t>3+, 3–10 across zones</w:t>
            </w:r>
          </w:p>
        </w:tc>
      </w:tr>
      <w:tr>
        <w:tc>
          <w:tcPr>
            <w:tcW w:type="dxa" w:w="2448"/>
          </w:tcPr>
          <w:p>
            <w:r/>
            <w:r>
              <w:rPr>
                <w:sz w:val="18"/>
              </w:rPr>
              <w:t>PostgreSQL</w:t>
            </w:r>
          </w:p>
        </w:tc>
        <w:tc>
          <w:tcPr>
            <w:tcW w:type="dxa" w:w="2304"/>
          </w:tcPr>
          <w:p>
            <w:r/>
            <w:r>
              <w:rPr>
                <w:sz w:val="18"/>
              </w:rPr>
              <w:t>Burstable, no HA</w:t>
            </w:r>
          </w:p>
        </w:tc>
        <w:tc>
          <w:tcPr>
            <w:tcW w:type="dxa" w:w="2304"/>
          </w:tcPr>
          <w:p>
            <w:r/>
            <w:r>
              <w:rPr>
                <w:sz w:val="18"/>
              </w:rPr>
              <w:t>Burstable/GP</w:t>
            </w:r>
          </w:p>
        </w:tc>
        <w:tc>
          <w:tcPr>
            <w:tcW w:type="dxa" w:w="2736"/>
          </w:tcPr>
          <w:p>
            <w:r/>
            <w:r>
              <w:rPr>
                <w:sz w:val="18"/>
              </w:rPr>
              <w:t>General Purpose + Zone-redundant HA</w:t>
            </w:r>
          </w:p>
        </w:tc>
      </w:tr>
      <w:tr>
        <w:tc>
          <w:tcPr>
            <w:tcW w:type="dxa" w:w="2448"/>
          </w:tcPr>
          <w:p>
            <w:r/>
            <w:r>
              <w:rPr>
                <w:sz w:val="18"/>
              </w:rPr>
              <w:t>Backup retention</w:t>
            </w:r>
          </w:p>
        </w:tc>
        <w:tc>
          <w:tcPr>
            <w:tcW w:type="dxa" w:w="2304"/>
          </w:tcPr>
          <w:p>
            <w:r/>
            <w:r>
              <w:rPr>
                <w:sz w:val="18"/>
              </w:rPr>
              <w:t>7 days</w:t>
            </w:r>
          </w:p>
        </w:tc>
        <w:tc>
          <w:tcPr>
            <w:tcW w:type="dxa" w:w="2304"/>
          </w:tcPr>
          <w:p>
            <w:r/>
            <w:r>
              <w:rPr>
                <w:sz w:val="18"/>
              </w:rPr>
              <w:t>14 days</w:t>
            </w:r>
          </w:p>
        </w:tc>
        <w:tc>
          <w:tcPr>
            <w:tcW w:type="dxa" w:w="2736"/>
          </w:tcPr>
          <w:p>
            <w:r/>
            <w:r>
              <w:rPr>
                <w:sz w:val="18"/>
              </w:rPr>
              <w:t>35 days, geo-redundant</w:t>
            </w:r>
          </w:p>
        </w:tc>
      </w:tr>
      <w:tr>
        <w:tc>
          <w:tcPr>
            <w:tcW w:type="dxa" w:w="2448"/>
          </w:tcPr>
          <w:p>
            <w:r/>
            <w:r>
              <w:rPr>
                <w:sz w:val="18"/>
              </w:rPr>
              <w:t>Ingress WAF</w:t>
            </w:r>
          </w:p>
        </w:tc>
        <w:tc>
          <w:tcPr>
            <w:tcW w:type="dxa" w:w="2304"/>
          </w:tcPr>
          <w:p>
            <w:r/>
            <w:r>
              <w:rPr>
                <w:sz w:val="18"/>
              </w:rPr>
              <w:t>Detection</w:t>
            </w:r>
          </w:p>
        </w:tc>
        <w:tc>
          <w:tcPr>
            <w:tcW w:type="dxa" w:w="2304"/>
          </w:tcPr>
          <w:p>
            <w:r/>
            <w:r>
              <w:rPr>
                <w:sz w:val="18"/>
              </w:rPr>
              <w:t>Detection</w:t>
            </w:r>
          </w:p>
        </w:tc>
        <w:tc>
          <w:tcPr>
            <w:tcW w:type="dxa" w:w="2736"/>
          </w:tcPr>
          <w:p>
            <w:r/>
            <w:r>
              <w:rPr>
                <w:sz w:val="18"/>
              </w:rPr>
              <w:t>Prevention</w:t>
            </w:r>
          </w:p>
        </w:tc>
      </w:tr>
      <w:tr>
        <w:tc>
          <w:tcPr>
            <w:tcW w:type="dxa" w:w="2448"/>
          </w:tcPr>
          <w:p>
            <w:r/>
            <w:r>
              <w:rPr>
                <w:sz w:val="18"/>
              </w:rPr>
              <w:t>API server</w:t>
            </w:r>
          </w:p>
        </w:tc>
        <w:tc>
          <w:tcPr>
            <w:tcW w:type="dxa" w:w="2304"/>
          </w:tcPr>
          <w:p>
            <w:r/>
            <w:r>
              <w:rPr>
                <w:sz w:val="18"/>
              </w:rPr>
              <w:t>Authorized IP ranges</w:t>
            </w:r>
          </w:p>
        </w:tc>
        <w:tc>
          <w:tcPr>
            <w:tcW w:type="dxa" w:w="2304"/>
          </w:tcPr>
          <w:p>
            <w:r/>
            <w:r>
              <w:rPr>
                <w:sz w:val="18"/>
              </w:rPr>
              <w:t>Private</w:t>
            </w:r>
          </w:p>
        </w:tc>
        <w:tc>
          <w:tcPr>
            <w:tcW w:type="dxa" w:w="2736"/>
          </w:tcPr>
          <w:p>
            <w:r/>
            <w:r>
              <w:rPr>
                <w:sz w:val="18"/>
              </w:rPr>
              <w:t>Private</w:t>
            </w:r>
          </w:p>
        </w:tc>
      </w:tr>
      <w:tr>
        <w:tc>
          <w:tcPr>
            <w:tcW w:type="dxa" w:w="2448"/>
          </w:tcPr>
          <w:p>
            <w:r/>
            <w:r>
              <w:rPr>
                <w:sz w:val="18"/>
              </w:rPr>
              <w:t>Azure OpenAI</w:t>
            </w:r>
          </w:p>
        </w:tc>
        <w:tc>
          <w:tcPr>
            <w:tcW w:type="dxa" w:w="2304"/>
          </w:tcPr>
          <w:p>
            <w:r/>
            <w:r>
              <w:rPr>
                <w:sz w:val="18"/>
              </w:rPr>
              <w:t>Shared/small quota</w:t>
            </w:r>
          </w:p>
        </w:tc>
        <w:tc>
          <w:tcPr>
            <w:tcW w:type="dxa" w:w="2304"/>
          </w:tcPr>
          <w:p>
            <w:r/>
            <w:r>
              <w:rPr>
                <w:sz w:val="18"/>
              </w:rPr>
              <w:t>Dedicated</w:t>
            </w:r>
          </w:p>
        </w:tc>
        <w:tc>
          <w:tcPr>
            <w:tcW w:type="dxa" w:w="2736"/>
          </w:tcPr>
          <w:p>
            <w:r/>
            <w:r>
              <w:rPr>
                <w:sz w:val="18"/>
              </w:rPr>
              <w:t>Dedicated, higher TPM</w:t>
            </w:r>
          </w:p>
        </w:tc>
      </w:tr>
      <w:tr>
        <w:tc>
          <w:tcPr>
            <w:tcW w:type="dxa" w:w="2448"/>
          </w:tcPr>
          <w:p>
            <w:r/>
            <w:r>
              <w:rPr>
                <w:sz w:val="18"/>
              </w:rPr>
              <w:t>Deploy gate</w:t>
            </w:r>
          </w:p>
        </w:tc>
        <w:tc>
          <w:tcPr>
            <w:tcW w:type="dxa" w:w="2304"/>
          </w:tcPr>
          <w:p>
            <w:r/>
            <w:r>
              <w:rPr>
                <w:sz w:val="18"/>
              </w:rPr>
              <w:t>Auto on merge</w:t>
            </w:r>
          </w:p>
        </w:tc>
        <w:tc>
          <w:tcPr>
            <w:tcW w:type="dxa" w:w="2304"/>
          </w:tcPr>
          <w:p>
            <w:r/>
            <w:r>
              <w:rPr>
                <w:sz w:val="18"/>
              </w:rPr>
              <w:t>Auto + smoke tests</w:t>
            </w:r>
          </w:p>
        </w:tc>
        <w:tc>
          <w:tcPr>
            <w:tcW w:type="dxa" w:w="2736"/>
          </w:tcPr>
          <w:p>
            <w:r/>
            <w:r>
              <w:rPr>
                <w:sz w:val="18"/>
              </w:rPr>
              <w:t>Manual approval</w:t>
            </w:r>
          </w:p>
        </w:tc>
      </w:tr>
      <w:tr>
        <w:tc>
          <w:tcPr>
            <w:tcW w:type="dxa" w:w="2448"/>
          </w:tcPr>
          <w:p>
            <w:r/>
            <w:r>
              <w:rPr>
                <w:sz w:val="18"/>
              </w:rPr>
              <w:t>Data</w:t>
            </w:r>
          </w:p>
        </w:tc>
        <w:tc>
          <w:tcPr>
            <w:tcW w:type="dxa" w:w="2304"/>
          </w:tcPr>
          <w:p>
            <w:r/>
            <w:r>
              <w:rPr>
                <w:sz w:val="18"/>
              </w:rPr>
              <w:t>Synthetic seed</w:t>
            </w:r>
          </w:p>
        </w:tc>
        <w:tc>
          <w:tcPr>
            <w:tcW w:type="dxa" w:w="2304"/>
          </w:tcPr>
          <w:p>
            <w:r/>
            <w:r>
              <w:rPr>
                <w:sz w:val="18"/>
              </w:rPr>
              <w:t>Anonymized</w:t>
            </w:r>
          </w:p>
        </w:tc>
        <w:tc>
          <w:tcPr>
            <w:tcW w:type="dxa" w:w="2736"/>
          </w:tcPr>
          <w:p>
            <w:r/>
            <w:r>
              <w:rPr>
                <w:sz w:val="18"/>
              </w:rPr>
              <w:t>Production (no seed)</w:t>
            </w:r>
          </w:p>
        </w:tc>
      </w:tr>
    </w:tbl>
    <w:p/>
    <w:p>
      <w:r>
        <w:br w:type="page"/>
      </w:r>
    </w:p>
    <w:p>
      <w:pPr>
        <w:pStyle w:val="Heading1"/>
      </w:pPr>
      <w:r>
        <w:t>10. Delivery — CI/CD &amp; GitOps</w:t>
      </w:r>
    </w:p>
    <w:p>
      <w:r>
        <w:rPr>
          <w:b w:val="0"/>
          <w:i w:val="0"/>
        </w:rPr>
        <w:t>Two common patterns; pick one:</w:t>
      </w:r>
    </w:p>
    <w:p>
      <w:pPr>
        <w:pStyle w:val="ListBullet"/>
      </w:pPr>
      <w:r>
        <w:rPr>
          <w:b/>
        </w:rPr>
        <w:t xml:space="preserve">Push CI/CD. </w:t>
      </w:r>
      <w:r>
        <w:t>GitHub Actions builds &amp; tests, `az acr build` pushes the image, then `helm upgrade` to the cluster (Azure login via OIDC federated credentials). Migration Job runs as a Helm pre-upgrade hook (Appendix E).</w:t>
      </w:r>
    </w:p>
    <w:p>
      <w:pPr>
        <w:pStyle w:val="ListBullet"/>
      </w:pPr>
      <w:r>
        <w:rPr>
          <w:b/>
        </w:rPr>
        <w:t xml:space="preserve">GitOps (recommended for prod). </w:t>
      </w:r>
      <w:r>
        <w:t>CI builds the image and bumps the digest in an environment overlay/values; Argo CD or Flux reconciles the cluster to Git. Promotion = a PR from dev → test → prod overlays with required reviewers.</w:t>
      </w:r>
    </w:p>
    <w:p>
      <w:r>
        <w:rPr>
          <w:b w:val="0"/>
          <w:i w:val="0"/>
        </w:rPr>
        <w:t>Use GitHub Environments (dev/test/prod) for per-environment variables and protection rules. Never run privileged kubectl from laptops against prod — drive changes through the pipeline / GitOps.</w:t>
      </w:r>
    </w:p>
    <w:p>
      <w:r>
        <w:br w:type="page"/>
      </w:r>
    </w:p>
    <w:p>
      <w:pPr>
        <w:pStyle w:val="Heading1"/>
      </w:pPr>
      <w:r>
        <w:t>11. Observability &amp; operations</w:t>
      </w:r>
    </w:p>
    <w:p>
      <w:pPr>
        <w:pStyle w:val="ListBullet"/>
      </w:pPr>
      <w:r>
        <w:rPr>
          <w:b/>
        </w:rPr>
        <w:t xml:space="preserve">Cluster. </w:t>
      </w:r>
      <w:r>
        <w:t>Container Insights → Log Analytics (node/pod metrics, container logs); Prometheus metrics + managed Grafana optional.</w:t>
      </w:r>
    </w:p>
    <w:p>
      <w:pPr>
        <w:pStyle w:val="ListBullet"/>
      </w:pPr>
      <w:r>
        <w:rPr>
          <w:b/>
        </w:rPr>
        <w:t xml:space="preserve">App. </w:t>
      </w:r>
      <w:r>
        <w:t>Application Insights for requests, dependencies, exceptions, traces.</w:t>
      </w:r>
    </w:p>
    <w:p>
      <w:pPr>
        <w:pStyle w:val="ListBullet"/>
      </w:pPr>
      <w:r>
        <w:rPr>
          <w:b/>
        </w:rPr>
        <w:t xml:space="preserve">Alerts. </w:t>
      </w:r>
      <w:r>
        <w:t>5xx rate, p95 latency, pod restarts/CrashLoopBackOff, HPA saturation, node pressure, PostgreSQL CPU/storage/connections, Azure OpenAI 429s.</w:t>
      </w:r>
    </w:p>
    <w:p>
      <w:pPr>
        <w:pStyle w:val="ListBullet"/>
      </w:pPr>
      <w:r>
        <w:rPr>
          <w:b/>
        </w:rPr>
        <w:t xml:space="preserve">Backup/DR. </w:t>
      </w:r>
      <w:r>
        <w:t>PostgreSQL PITR + geo-redundant backups (Prod); IaC + Helm enable full rebuild; Velero for cluster state if needed; document RPO/RTO.</w:t>
      </w:r>
    </w:p>
    <w:p>
      <w:pPr>
        <w:pStyle w:val="ListBullet"/>
      </w:pPr>
      <w:r>
        <w:rPr>
          <w:b/>
        </w:rPr>
        <w:t xml:space="preserve">Cost. </w:t>
      </w:r>
      <w:r>
        <w:t>Budgets + alerts per RG; cluster autoscaler + scale-down; scale Dev to minimum off-hours.</w:t>
      </w:r>
    </w:p>
    <w:p>
      <w:r>
        <w:br w:type="page"/>
      </w:r>
    </w:p>
    <w:p>
      <w:pPr>
        <w:pStyle w:val="Heading1"/>
      </w:pPr>
      <w:r>
        <w:t>12. Ordered provisioning runbook (per environment)</w:t>
      </w:r>
    </w:p>
    <w:p>
      <w:r>
        <w:rPr>
          <w:b w:val="0"/>
          <w:i w:val="0"/>
        </w:rPr>
        <w:t>Drive via IaC + Helm; az CLI shown for clarity. Repeat per environment with its parameters.</w:t>
      </w:r>
    </w:p>
    <w:p>
      <w:pPr>
        <w:pStyle w:val="ListNumber"/>
      </w:pPr>
      <w:r>
        <w:t>Resource group + Log Analytics workspace + Application Insights.</w:t>
      </w:r>
    </w:p>
    <w:p>
      <w:pPr>
        <w:pStyle w:val="ListNumber"/>
      </w:pPr>
      <w:r>
        <w:t>VNet &amp; subnets (per §5.1); NSGs; route table (UDR → firewall).</w:t>
      </w:r>
    </w:p>
    <w:p>
      <w:pPr>
        <w:pStyle w:val="ListNumber"/>
      </w:pPr>
      <w:r>
        <w:t>Private DNS zones (per §5.3) linked to the VNet.</w:t>
      </w:r>
    </w:p>
    <w:p>
      <w:pPr>
        <w:pStyle w:val="ListNumber"/>
      </w:pPr>
      <w:r>
        <w:t>Key Vault (RBAC, private endpoint) + seed secrets.</w:t>
      </w:r>
    </w:p>
    <w:p>
      <w:pPr>
        <w:pStyle w:val="ListNumber"/>
      </w:pPr>
      <w:r>
        <w:t>ACR (private endpoint).</w:t>
      </w:r>
    </w:p>
    <w:p>
      <w:pPr>
        <w:pStyle w:val="ListNumber"/>
      </w:pPr>
      <w:r>
        <w:t>PostgreSQL Flexible Server (private) + app role/database.</w:t>
      </w:r>
    </w:p>
    <w:p>
      <w:pPr>
        <w:pStyle w:val="ListNumber"/>
      </w:pPr>
      <w:r>
        <w:t>Azure OpenAI + model deployment (private endpoint).</w:t>
      </w:r>
    </w:p>
    <w:p>
      <w:pPr>
        <w:pStyle w:val="ListNumber"/>
      </w:pPr>
      <w:r>
        <w:t>Azure Firewall (+ UDR) or NAT Gateway for egress.</w:t>
      </w:r>
    </w:p>
    <w:p>
      <w:pPr>
        <w:pStyle w:val="ListNumber"/>
      </w:pPr>
      <w:r>
        <w:t>AKS cluster (private, Azure CNI Overlay, OIDC + Workload Identity, addons: CSI, AGIC, monitoring); attach ACR.</w:t>
      </w:r>
    </w:p>
    <w:p>
      <w:pPr>
        <w:pStyle w:val="ListNumber"/>
      </w:pPr>
      <w:r>
        <w:t>Workload identity: user-assigned MI + federated credential + role assignments (§3.2).</w:t>
      </w:r>
    </w:p>
    <w:p>
      <w:pPr>
        <w:pStyle w:val="ListNumber"/>
      </w:pPr>
      <w:r>
        <w:t>App Gateway (WAF_v2) for AGIC; custom domain + TLS cert (Key Vault or cert-manager).</w:t>
      </w:r>
    </w:p>
    <w:p>
      <w:pPr>
        <w:pStyle w:val="ListNumber"/>
      </w:pPr>
      <w:r>
        <w:t>Entra app registration redirect URI for this environment.</w:t>
      </w:r>
    </w:p>
    <w:p>
      <w:pPr>
        <w:pStyle w:val="ListNumber"/>
      </w:pPr>
      <w:r>
        <w:t>helm upgrade --install (runs migration Job, deploys API + front end, Service, Ingress, HPA); smoke test.</w:t>
      </w:r>
    </w:p>
    <w:p>
      <w:pPr>
        <w:spacing w:before="40" w:after="120"/>
        <w:shd w:val="clear" w:fill="F2F3F5"/>
      </w:pPr>
      <w:r>
        <w:rPr>
          <w:rFonts w:ascii="Consolas" w:hAnsi="Consolas"/>
          <w:sz w:val="17"/>
        </w:rPr>
        <w:t># Illustrative — prefer Bicep/Terraform + Helm</w:t>
        <w:br/>
        <w:t>az aks create -g rg-uifactory-prod -n aks-uifactory-prod \</w:t>
        <w:br/>
        <w:t xml:space="preserve">  --network-plugin azure --network-plugin-mode overlay --network-policy cilium \</w:t>
        <w:br/>
        <w:t xml:space="preserve">  --enable-private-cluster --enable-oidc-issuer --enable-workload-identity \</w:t>
        <w:br/>
        <w:t xml:space="preserve">  --enable-addons azure-keyvault-secrets-provider,ingress-appgw,monitoring \</w:t>
        <w:br/>
        <w:t xml:space="preserve">  --appgw-name agw-uifactory-prod --appgw-subnet-id &lt;snet-agw-id&gt; \</w:t>
        <w:br/>
        <w:t xml:space="preserve">  --outbound-type userDefinedRouting --enable-cluster-autoscaler --min-count 3 --max-count 10</w:t>
        <w:br/>
        <w:t>az aks update -g rg-uifactory-prod -n aks-uifactory-prod --attach-acr &lt;acrName&gt;</w:t>
        <w:br/>
        <w:t># workload identity federation</w:t>
        <w:br/>
        <w:t>az identity federated-credential create --name uifactory --identity-name id-uifactory-prod \</w:t>
        <w:br/>
        <w:t xml:space="preserve">  -g rg-uifactory-prod --issuer $(az aks show -g rg-uifactory-prod -n aks-uifactory-prod \</w:t>
        <w:br/>
        <w:t xml:space="preserve">  --query oidcIssuerProfile.issuerUrl -o tsv) --subject system:serviceaccount:uifactory:uifactory-api</w:t>
        <w:br/>
        <w:t>az aks get-credentials -g rg-uifactory-prod -n aks-uifactory-prod</w:t>
        <w:br/>
        <w:t>helm upgrade --install uifactory ./charts/uifactory -n uifactory --create-namespace \</w:t>
        <w:br/>
        <w:t xml:space="preserve">  -f charts/uifactory/values-prod.yaml --set image.tag=$GIT_SHA</w:t>
      </w:r>
    </w:p>
    <w:p>
      <w:r>
        <w:br w:type="page"/>
      </w:r>
    </w:p>
    <w:p>
      <w:pPr>
        <w:pStyle w:val="Heading1"/>
      </w:pPr>
      <w:r>
        <w:t>13. Security checklist</w:t>
      </w:r>
    </w:p>
    <w:p>
      <w:pPr>
        <w:pStyle w:val="ListBullet"/>
      </w:pPr>
      <w:r>
        <w:t>Private API server (or authorized IP ranges); Azure RBAC for Kubernetes + Entra admin groups.</w:t>
      </w:r>
    </w:p>
    <w:p>
      <w:pPr>
        <w:pStyle w:val="ListBullet"/>
      </w:pPr>
      <w:r>
        <w:t>Public access disabled on PostgreSQL, Key Vault, ACR, Azure OpenAI (Private Endpoints only).</w:t>
      </w:r>
    </w:p>
    <w:p>
      <w:pPr>
        <w:pStyle w:val="ListBullet"/>
      </w:pPr>
      <w:r>
        <w:t>Workload Identity for pod→Azure auth; no static cloud secrets in the cluster.</w:t>
      </w:r>
    </w:p>
    <w:p>
      <w:pPr>
        <w:pStyle w:val="ListBullet"/>
      </w:pPr>
      <w:r>
        <w:t>Secrets only via Key Vault + CSI; unique JWT_SECRET and SECRETS_KEY per environment with rotation.</w:t>
      </w:r>
    </w:p>
    <w:p>
      <w:pPr>
        <w:pStyle w:val="ListBullet"/>
      </w:pPr>
      <w:r>
        <w:t>Network policy default-deny + explicit allows; egress restricted via firewall FQDN rules.</w:t>
      </w:r>
    </w:p>
    <w:p>
      <w:pPr>
        <w:pStyle w:val="ListBullet"/>
      </w:pPr>
      <w:r>
        <w:t>Ingress WAF in Prevention for Prod; TLS via Key Vault/cert-manager; custom domain.</w:t>
      </w:r>
    </w:p>
    <w:p>
      <w:pPr>
        <w:pStyle w:val="ListBullet"/>
      </w:pPr>
      <w:r>
        <w:t>Image scanning (Defender for Containers / ACR), non-root containers, Azure Policy for AKS baseline.</w:t>
      </w:r>
    </w:p>
    <w:p>
      <w:pPr>
        <w:pStyle w:val="ListBullet"/>
      </w:pPr>
      <w:r>
        <w:t>SSRF private-IP blocking enabled in Prod; Graph consent limited to User.Read.All and reviewed.</w:t>
      </w:r>
    </w:p>
    <w:p>
      <w:pPr>
        <w:pStyle w:val="ListBullet"/>
      </w:pPr>
      <w:r>
        <w:t>Container Insights + App Insights + alerts enabled; budgets configured.</w:t>
      </w:r>
    </w:p>
    <w:p>
      <w:r>
        <w:br w:type="page"/>
      </w:r>
    </w:p>
    <w:p>
      <w:pPr>
        <w:pStyle w:val="Heading1"/>
      </w:pPr>
      <w:r>
        <w:t>Appendix A — Backend Dockerfile (sample)</w:t>
      </w:r>
    </w:p>
    <w:p>
      <w:pPr>
        <w:spacing w:before="40" w:after="120"/>
        <w:shd w:val="clear" w:fill="F2F3F5"/>
      </w:pPr>
      <w:r>
        <w:rPr>
          <w:rFonts w:ascii="Consolas" w:hAnsi="Consolas"/>
          <w:sz w:val="17"/>
        </w:rPr>
        <w:t>FROM node:22-alpine AS build</w:t>
        <w:br/>
        <w:t>WORKDIR /app</w:t>
        <w:br/>
        <w:t>COPY package*.json ./</w:t>
        <w:br/>
        <w:t>COPY backend/package*.json backend/</w:t>
        <w:br/>
        <w:t>RUN npm ci</w:t>
        <w:br/>
        <w:t>COPY . .</w:t>
        <w:br/>
        <w:t>RUN npm run build --workspace backend \</w:t>
        <w:br/>
        <w:t xml:space="preserve"> &amp;&amp; npx prisma generate --schema backend/prisma/schema.prisma</w:t>
        <w:br/>
        <w:t/>
        <w:br/>
        <w:t>FROM node:22-alpine AS runtime</w:t>
        <w:br/>
        <w:t>WORKDIR /app</w:t>
        <w:br/>
        <w:t>ENV NODE_ENV=production PORT=3001</w:t>
        <w:br/>
        <w:t>COPY --from=build /app/node_modules ./node_modules</w:t>
        <w:br/>
        <w:t>COPY --from=build /app/backend/dist ./backend/dist</w:t>
        <w:br/>
        <w:t>COPY --from=build /app/backend/prisma ./backend/prisma</w:t>
        <w:br/>
        <w:t>USER node</w:t>
        <w:br/>
        <w:t>EXPOSE 3001</w:t>
        <w:br/>
        <w:t>CMD ["node","backend/dist/main.js"]   # migrations run as a separate Job (Appendix D)</w:t>
      </w:r>
    </w:p>
    <w:p>
      <w:pPr>
        <w:pStyle w:val="Heading1"/>
      </w:pPr>
      <w:r>
        <w:t>Appendix B — Front end image (sample)</w:t>
      </w:r>
    </w:p>
    <w:p>
      <w:pPr>
        <w:spacing w:before="40" w:after="120"/>
        <w:shd w:val="clear" w:fill="F2F3F5"/>
      </w:pPr>
      <w:r>
        <w:rPr>
          <w:rFonts w:ascii="Consolas" w:hAnsi="Consolas"/>
          <w:sz w:val="17"/>
        </w:rPr>
        <w:t>FROM node:22-alpine AS build</w:t>
        <w:br/>
        <w:t>WORKDIR /app</w:t>
        <w:br/>
        <w:t>COPY package*.json ./</w:t>
        <w:br/>
        <w:t>COPY frontend/package*.json frontend/</w:t>
        <w:br/>
        <w:t>RUN npm ci</w:t>
        <w:br/>
        <w:t>COPY . .</w:t>
        <w:br/>
        <w:t>RUN npm run build --workspace frontend</w:t>
        <w:br/>
        <w:t/>
        <w:br/>
        <w:t>FROM nginx:alpine</w:t>
        <w:br/>
        <w:t>COPY --from=build /app/frontend/dist /usr/share/nginx/html</w:t>
        <w:br/>
        <w:t># SPA fallback: try_files $uri /index.html;  (provide nginx.conf)</w:t>
        <w:br/>
        <w:t># Alternatively skip this image and host frontend/dist on Azure Static Web Apps.</w:t>
      </w:r>
    </w:p>
    <w:p>
      <w:pPr>
        <w:pStyle w:val="Heading1"/>
      </w:pPr>
      <w:r>
        <w:t>Appendix C — Workloads: ServiceAccount, SecretProviderClass, Ingress (sketch)</w:t>
      </w:r>
    </w:p>
    <w:p>
      <w:pPr>
        <w:spacing w:before="40" w:after="120"/>
        <w:shd w:val="clear" w:fill="F2F3F5"/>
      </w:pPr>
      <w:r>
        <w:rPr>
          <w:rFonts w:ascii="Consolas" w:hAnsi="Consolas"/>
          <w:sz w:val="17"/>
        </w:rPr>
        <w:t>apiVersion: v1</w:t>
        <w:br/>
        <w:t>kind: ServiceAccount</w:t>
        <w:br/>
        <w:t>metadata:</w:t>
        <w:br/>
        <w:t xml:space="preserve">  name: uifactory-api</w:t>
        <w:br/>
        <w:t xml:space="preserve">  namespace: uifactory</w:t>
        <w:br/>
        <w:t xml:space="preserve">  annotations:</w:t>
        <w:br/>
        <w:t xml:space="preserve">    azure.workload.identity/client-id: &lt;managed-identity-client-id&gt;</w:t>
        <w:br/>
        <w:t>---</w:t>
        <w:br/>
        <w:t>apiVersion: secrets-store.csi.x-k8s.io/v1</w:t>
        <w:br/>
        <w:t>kind: SecretProviderClass</w:t>
        <w:br/>
        <w:t>metadata:</w:t>
        <w:br/>
        <w:t xml:space="preserve">  name: uifactory-kv</w:t>
        <w:br/>
        <w:t xml:space="preserve">  namespace: uifactory</w:t>
        <w:br/>
        <w:t>spec:</w:t>
        <w:br/>
        <w:t xml:space="preserve">  provider: azure</w:t>
        <w:br/>
        <w:t xml:space="preserve">  parameters:</w:t>
        <w:br/>
        <w:t xml:space="preserve">    usePodIdentity: "false"</w:t>
        <w:br/>
        <w:t xml:space="preserve">    clientID: &lt;managed-identity-client-id&gt;</w:t>
        <w:br/>
        <w:t xml:space="preserve">    keyvaultName: kv-uifactory-prod</w:t>
        <w:br/>
        <w:t xml:space="preserve">    tenantId: &lt;tenant-id&gt;</w:t>
        <w:br/>
        <w:t xml:space="preserve">    objects: |</w:t>
        <w:br/>
        <w:t xml:space="preserve">      array:</w:t>
        <w:br/>
        <w:t xml:space="preserve">        - |</w:t>
        <w:br/>
        <w:t xml:space="preserve">          objectName: DATABASE-URL</w:t>
        <w:br/>
        <w:t xml:space="preserve">          objectType: secret</w:t>
        <w:br/>
        <w:t xml:space="preserve">  secretObjects:</w:t>
        <w:br/>
        <w:t xml:space="preserve">    - secretName: uifactory-secrets</w:t>
        <w:br/>
        <w:t xml:space="preserve">      type: Opaque</w:t>
        <w:br/>
        <w:t xml:space="preserve">      data:</w:t>
        <w:br/>
        <w:t xml:space="preserve">        - objectName: DATABASE-URL</w:t>
        <w:br/>
        <w:t xml:space="preserve">          key: DATABASE_URL</w:t>
        <w:br/>
        <w:t>---</w:t>
        <w:br/>
        <w:t>apiVersion: networking.k8s.io/v1</w:t>
        <w:br/>
        <w:t>kind: Ingress</w:t>
        <w:br/>
        <w:t>metadata:</w:t>
        <w:br/>
        <w:t xml:space="preserve">  name: uifactory</w:t>
        <w:br/>
        <w:t xml:space="preserve">  namespace: uifactory</w:t>
        <w:br/>
        <w:t xml:space="preserve">  annotations:</w:t>
        <w:br/>
        <w:t xml:space="preserve">    kubernetes.io/ingress.class: azure/application-gateway</w:t>
        <w:br/>
        <w:t xml:space="preserve">    appgw.ingress.kubernetes.io/waf-policy-for-path: &lt;waf-policy-id&gt;</w:t>
        <w:br/>
        <w:t>spec:</w:t>
        <w:br/>
        <w:t xml:space="preserve">  rules:</w:t>
        <w:br/>
        <w:t xml:space="preserve">    - host: uifactory.contoso.com</w:t>
        <w:br/>
        <w:t xml:space="preserve">      http:</w:t>
        <w:br/>
        <w:t xml:space="preserve">        paths:</w:t>
        <w:br/>
        <w:t xml:space="preserve">          - path: /api</w:t>
        <w:br/>
        <w:t xml:space="preserve">            pathType: Prefix</w:t>
        <w:br/>
        <w:t xml:space="preserve">            backend:</w:t>
        <w:br/>
        <w:t xml:space="preserve">              service:</w:t>
        <w:br/>
        <w:t xml:space="preserve">                name: uifactory-api</w:t>
        <w:br/>
        <w:t xml:space="preserve">                port: { number: 80 }</w:t>
        <w:br/>
        <w:t xml:space="preserve">          - path: /</w:t>
        <w:br/>
        <w:t xml:space="preserve">            pathType: Prefix</w:t>
        <w:br/>
        <w:t xml:space="preserve">            backend:</w:t>
        <w:br/>
        <w:t xml:space="preserve">              service:</w:t>
        <w:br/>
        <w:t xml:space="preserve">                name: uifactory-frontend</w:t>
        <w:br/>
        <w:t xml:space="preserve">                port: { number: 80 }</w:t>
      </w:r>
    </w:p>
    <w:p>
      <w:pPr>
        <w:pStyle w:val="Heading1"/>
      </w:pPr>
      <w:r>
        <w:t>Appendix D — Migration Job (Helm pre-upgrade hook)</w:t>
      </w:r>
    </w:p>
    <w:p>
      <w:pPr>
        <w:spacing w:before="40" w:after="120"/>
        <w:shd w:val="clear" w:fill="F2F3F5"/>
      </w:pPr>
      <w:r>
        <w:rPr>
          <w:rFonts w:ascii="Consolas" w:hAnsi="Consolas"/>
          <w:sz w:val="17"/>
        </w:rPr>
        <w:t>apiVersion: batch/v1</w:t>
        <w:br/>
        <w:t>kind: Job</w:t>
        <w:br/>
        <w:t>metadata:</w:t>
        <w:br/>
        <w:t xml:space="preserve">  name: uifactory-migrate</w:t>
        <w:br/>
        <w:t xml:space="preserve">  namespace: uifactory</w:t>
        <w:br/>
        <w:t xml:space="preserve">  annotations:</w:t>
        <w:br/>
        <w:t xml:space="preserve">    "helm.sh/hook": pre-install,pre-upgrade</w:t>
        <w:br/>
        <w:t xml:space="preserve">    "helm.sh/hook-delete-policy": before-hook-creation,hook-succeeded</w:t>
        <w:br/>
        <w:t>spec:</w:t>
        <w:br/>
        <w:t xml:space="preserve">  template:</w:t>
        <w:br/>
        <w:t xml:space="preserve">    metadata:</w:t>
        <w:br/>
        <w:t xml:space="preserve">      labels: { azure.workload.identity/use: "true" }</w:t>
        <w:br/>
        <w:t xml:space="preserve">    spec:</w:t>
        <w:br/>
        <w:t xml:space="preserve">      serviceAccountName: uifactory-api</w:t>
        <w:br/>
        <w:t xml:space="preserve">      restartPolicy: Never</w:t>
        <w:br/>
        <w:t xml:space="preserve">      containers:</w:t>
        <w:br/>
        <w:t xml:space="preserve">        - name: migrate</w:t>
        <w:br/>
        <w:t xml:space="preserve">          image: &lt;acr&gt;.azurecr.io/uifactory-api:{{ .Values.image.tag }}</w:t>
        <w:br/>
        <w:t xml:space="preserve">          command: ["npx","prisma","migrate","deploy","--schema","backend/prisma/schema.prisma"]</w:t>
        <w:br/>
        <w:t xml:space="preserve">          envFrom:</w:t>
        <w:br/>
        <w:t xml:space="preserve">            - secretRef: { name: uifactory-secrets }</w:t>
      </w:r>
    </w:p>
    <w:p>
      <w:pPr>
        <w:pStyle w:val="Heading1"/>
      </w:pPr>
      <w:r>
        <w:t>Appendix E — GitHub Actions (Helm deploy, sketch)</w:t>
      </w:r>
    </w:p>
    <w:p>
      <w:pPr>
        <w:spacing w:before="40" w:after="120"/>
        <w:shd w:val="clear" w:fill="F2F3F5"/>
      </w:pPr>
      <w:r>
        <w:rPr>
          <w:rFonts w:ascii="Consolas" w:hAnsi="Consolas"/>
          <w:sz w:val="17"/>
        </w:rPr>
        <w:t>name: deploy</w:t>
        <w:br/>
        <w:t>on: { push: { branches: [main] } }</w:t>
        <w:br/>
        <w:t>permissions: { id-token: write, contents: read }</w:t>
        <w:br/>
        <w:t>jobs:</w:t>
        <w:br/>
        <w:t xml:space="preserve">  release:</w:t>
        <w:br/>
        <w:t xml:space="preserve">    runs-on: ubuntu-latest</w:t>
        <w:br/>
        <w:t xml:space="preserve">    environment: prod        # requires reviewer approval</w:t>
        <w:br/>
        <w:t xml:space="preserve">    steps:</w:t>
        <w:br/>
        <w:t xml:space="preserve">      - uses: actions/checkout@v4</w:t>
        <w:br/>
        <w:t xml:space="preserve">      - uses: azure/login@v2        # OIDC federated credentials</w:t>
        <w:br/>
        <w:t xml:space="preserve">        with: { client-id: ${{ secrets.AZURE_CLIENT_ID }},</w:t>
        <w:br/>
        <w:t xml:space="preserve">                tenant-id: ${{ secrets.AZURE_TENANT_ID }},</w:t>
        <w:br/>
        <w:t xml:space="preserve">                subscription-id: ${{ secrets.AZURE_SUBSCRIPTION_ID }} }</w:t>
        <w:br/>
        <w:t xml:space="preserve">      - run: az acr build -r $ACR -t uifactory-api:${{ github.sha }} -f Dockerfile .</w:t>
        <w:br/>
        <w:t xml:space="preserve">      - run: az aks get-credentials -g rg-uifactory-prod -n aks-uifactory-prod</w:t>
        <w:br/>
        <w:t xml:space="preserve">      - run: |</w:t>
        <w:br/>
        <w:t xml:space="preserve">          helm upgrade --install uifactory ./charts/uifactory -n uifactory --create-namespace \</w:t>
        <w:br/>
        <w:t xml:space="preserve">            -f charts/uifactory/values-prod.yaml --set image.tag=${{ github.sha }} --wait</w:t>
      </w:r>
    </w:p>
    <w:p>
      <w:pPr>
        <w:pStyle w:val="Heading1"/>
      </w:pPr>
      <w:r>
        <w:t>Appendix F — Environment variable reference</w:t>
      </w:r>
    </w:p>
    <w:tbl>
      <w:tblPr>
        <w:tblStyle w:val="TableGrid"/>
        <w:tblW w:type="auto" w:w="0"/>
        <w:tblLook w:firstColumn="1" w:firstRow="1" w:lastColumn="0" w:lastRow="0" w:noHBand="0" w:noVBand="1" w:val="04A0"/>
      </w:tblPr>
      <w:tblGrid>
        <w:gridCol w:w="4320"/>
        <w:gridCol w:w="4320"/>
      </w:tblGrid>
      <w:tr>
        <w:tc>
          <w:tcPr>
            <w:tcW w:type="dxa" w:w="4320"/>
          </w:tcPr>
          <w:p>
            <w:pPr>
              <w:shd w:val="clear" w:fill="3A64F0"/>
            </w:pPr>
            <w:r/>
            <w:r>
              <w:rPr>
                <w:b/>
                <w:color w:val="FFFFFF"/>
                <w:sz w:val="18"/>
              </w:rPr>
              <w:t>Variable</w:t>
            </w:r>
          </w:p>
        </w:tc>
        <w:tc>
          <w:tcPr>
            <w:tcW w:type="dxa" w:w="5040"/>
          </w:tcPr>
          <w:p>
            <w:pPr>
              <w:shd w:val="clear" w:fill="3A64F0"/>
            </w:pPr>
            <w:r/>
            <w:r>
              <w:rPr>
                <w:b/>
                <w:color w:val="FFFFFF"/>
                <w:sz w:val="18"/>
              </w:rPr>
              <w:t>Purpose</w:t>
            </w:r>
          </w:p>
        </w:tc>
      </w:tr>
      <w:tr>
        <w:tc>
          <w:tcPr>
            <w:tcW w:type="dxa" w:w="4320"/>
          </w:tcPr>
          <w:p>
            <w:r/>
            <w:r>
              <w:rPr>
                <w:sz w:val="18"/>
              </w:rPr>
              <w:t>PORT</w:t>
            </w:r>
          </w:p>
        </w:tc>
        <w:tc>
          <w:tcPr>
            <w:tcW w:type="dxa" w:w="5040"/>
          </w:tcPr>
          <w:p>
            <w:r/>
            <w:r>
              <w:rPr>
                <w:sz w:val="18"/>
              </w:rPr>
              <w:t>API listen port (3001)</w:t>
            </w:r>
          </w:p>
        </w:tc>
      </w:tr>
      <w:tr>
        <w:tc>
          <w:tcPr>
            <w:tcW w:type="dxa" w:w="4320"/>
          </w:tcPr>
          <w:p>
            <w:r/>
            <w:r>
              <w:rPr>
                <w:sz w:val="18"/>
              </w:rPr>
              <w:t>NODE_ENV</w:t>
            </w:r>
          </w:p>
        </w:tc>
        <w:tc>
          <w:tcPr>
            <w:tcW w:type="dxa" w:w="5040"/>
          </w:tcPr>
          <w:p>
            <w:r/>
            <w:r>
              <w:rPr>
                <w:sz w:val="18"/>
              </w:rPr>
              <w:t>Set 'production' for Secure cookies</w:t>
            </w:r>
          </w:p>
        </w:tc>
      </w:tr>
      <w:tr>
        <w:tc>
          <w:tcPr>
            <w:tcW w:type="dxa" w:w="4320"/>
          </w:tcPr>
          <w:p>
            <w:r/>
            <w:r>
              <w:rPr>
                <w:sz w:val="18"/>
              </w:rPr>
              <w:t>FRONTEND_URL</w:t>
            </w:r>
          </w:p>
        </w:tc>
        <w:tc>
          <w:tcPr>
            <w:tcW w:type="dxa" w:w="5040"/>
          </w:tcPr>
          <w:p>
            <w:r/>
            <w:r>
              <w:rPr>
                <w:sz w:val="18"/>
              </w:rPr>
              <w:t>Public origin; CORS + OIDC redirects</w:t>
            </w:r>
          </w:p>
        </w:tc>
      </w:tr>
      <w:tr>
        <w:tc>
          <w:tcPr>
            <w:tcW w:type="dxa" w:w="4320"/>
          </w:tcPr>
          <w:p>
            <w:r/>
            <w:r>
              <w:rPr>
                <w:sz w:val="18"/>
              </w:rPr>
              <w:t>DATABASE_URL</w:t>
            </w:r>
          </w:p>
        </w:tc>
        <w:tc>
          <w:tcPr>
            <w:tcW w:type="dxa" w:w="5040"/>
          </w:tcPr>
          <w:p>
            <w:r/>
            <w:r>
              <w:rPr>
                <w:sz w:val="18"/>
              </w:rPr>
              <w:t>PostgreSQL connection string (prod)</w:t>
            </w:r>
          </w:p>
        </w:tc>
      </w:tr>
      <w:tr>
        <w:tc>
          <w:tcPr>
            <w:tcW w:type="dxa" w:w="4320"/>
          </w:tcPr>
          <w:p>
            <w:r/>
            <w:r>
              <w:rPr>
                <w:sz w:val="18"/>
              </w:rPr>
              <w:t>JWT_SECRET</w:t>
            </w:r>
          </w:p>
        </w:tc>
        <w:tc>
          <w:tcPr>
            <w:tcW w:type="dxa" w:w="5040"/>
          </w:tcPr>
          <w:p>
            <w:r/>
            <w:r>
              <w:rPr>
                <w:sz w:val="18"/>
              </w:rPr>
              <w:t>Signs session cookies</w:t>
            </w:r>
          </w:p>
        </w:tc>
      </w:tr>
      <w:tr>
        <w:tc>
          <w:tcPr>
            <w:tcW w:type="dxa" w:w="4320"/>
          </w:tcPr>
          <w:p>
            <w:r/>
            <w:r>
              <w:rPr>
                <w:sz w:val="18"/>
              </w:rPr>
              <w:t>SECRETS_KEY</w:t>
            </w:r>
          </w:p>
        </w:tc>
        <w:tc>
          <w:tcPr>
            <w:tcW w:type="dxa" w:w="5040"/>
          </w:tcPr>
          <w:p>
            <w:r/>
            <w:r>
              <w:rPr>
                <w:sz w:val="18"/>
              </w:rPr>
              <w:t>32-byte AES key for secrets at rest</w:t>
            </w:r>
          </w:p>
        </w:tc>
      </w:tr>
      <w:tr>
        <w:tc>
          <w:tcPr>
            <w:tcW w:type="dxa" w:w="4320"/>
          </w:tcPr>
          <w:p>
            <w:r/>
            <w:r>
              <w:rPr>
                <w:sz w:val="18"/>
              </w:rPr>
              <w:t>AZURE_AD_TENANT_ID / CLIENT_ID / CLIENT_SECRET</w:t>
            </w:r>
          </w:p>
        </w:tc>
        <w:tc>
          <w:tcPr>
            <w:tcW w:type="dxa" w:w="5040"/>
          </w:tcPr>
          <w:p>
            <w:r/>
            <w:r>
              <w:rPr>
                <w:sz w:val="18"/>
              </w:rPr>
              <w:t>Entra OIDC sign-in</w:t>
            </w:r>
          </w:p>
        </w:tc>
      </w:tr>
      <w:tr>
        <w:tc>
          <w:tcPr>
            <w:tcW w:type="dxa" w:w="4320"/>
          </w:tcPr>
          <w:p>
            <w:r/>
            <w:r>
              <w:rPr>
                <w:sz w:val="18"/>
              </w:rPr>
              <w:t>AZURE_AD_REDIRECT_URI</w:t>
            </w:r>
          </w:p>
        </w:tc>
        <w:tc>
          <w:tcPr>
            <w:tcW w:type="dxa" w:w="5040"/>
          </w:tcPr>
          <w:p>
            <w:r/>
            <w:r>
              <w:rPr>
                <w:sz w:val="18"/>
              </w:rPr>
              <w:t>https://&lt;host&gt;/api/auth/callback</w:t>
            </w:r>
          </w:p>
        </w:tc>
      </w:tr>
      <w:tr>
        <w:tc>
          <w:tcPr>
            <w:tcW w:type="dxa" w:w="4320"/>
          </w:tcPr>
          <w:p>
            <w:r/>
            <w:r>
              <w:rPr>
                <w:sz w:val="18"/>
              </w:rPr>
              <w:t>ADMIN_EMAILS</w:t>
            </w:r>
          </w:p>
        </w:tc>
        <w:tc>
          <w:tcPr>
            <w:tcW w:type="dxa" w:w="5040"/>
          </w:tcPr>
          <w:p>
            <w:r/>
            <w:r>
              <w:rPr>
                <w:sz w:val="18"/>
              </w:rPr>
              <w:t>Emails granted admin on first login</w:t>
            </w:r>
          </w:p>
        </w:tc>
      </w:tr>
      <w:tr>
        <w:tc>
          <w:tcPr>
            <w:tcW w:type="dxa" w:w="4320"/>
          </w:tcPr>
          <w:p>
            <w:r/>
            <w:r>
              <w:rPr>
                <w:sz w:val="18"/>
              </w:rPr>
              <w:t>AI_PROVIDER</w:t>
            </w:r>
          </w:p>
        </w:tc>
        <w:tc>
          <w:tcPr>
            <w:tcW w:type="dxa" w:w="5040"/>
          </w:tcPr>
          <w:p>
            <w:r/>
            <w:r>
              <w:rPr>
                <w:sz w:val="18"/>
              </w:rPr>
              <w:t>anthropic | openai | azure-openai (optional)</w:t>
            </w:r>
          </w:p>
        </w:tc>
      </w:tr>
      <w:tr>
        <w:tc>
          <w:tcPr>
            <w:tcW w:type="dxa" w:w="4320"/>
          </w:tcPr>
          <w:p>
            <w:r/>
            <w:r>
              <w:rPr>
                <w:sz w:val="18"/>
              </w:rPr>
              <w:t>AZURE_OPENAI_ENDPOINT / DEPLOYMENT / API_VERSION / API_KEY</w:t>
            </w:r>
          </w:p>
        </w:tc>
        <w:tc>
          <w:tcPr>
            <w:tcW w:type="dxa" w:w="5040"/>
          </w:tcPr>
          <w:p>
            <w:r/>
            <w:r>
              <w:rPr>
                <w:sz w:val="18"/>
              </w:rPr>
              <w:t>Azure OpenAI access</w:t>
            </w:r>
          </w:p>
        </w:tc>
      </w:tr>
      <w:tr>
        <w:tc>
          <w:tcPr>
            <w:tcW w:type="dxa" w:w="4320"/>
          </w:tcPr>
          <w:p>
            <w:r/>
            <w:r>
              <w:rPr>
                <w:sz w:val="18"/>
              </w:rPr>
              <w:t>ANTHROPIC_API_KEY / OPENAI_API_KEY</w:t>
            </w:r>
          </w:p>
        </w:tc>
        <w:tc>
          <w:tcPr>
            <w:tcW w:type="dxa" w:w="5040"/>
          </w:tcPr>
          <w:p>
            <w:r/>
            <w:r>
              <w:rPr>
                <w:sz w:val="18"/>
              </w:rPr>
              <w:t>Non-Azure platform providers (optional)</w:t>
            </w:r>
          </w:p>
        </w:tc>
      </w:tr>
      <w:tr>
        <w:tc>
          <w:tcPr>
            <w:tcW w:type="dxa" w:w="4320"/>
          </w:tcPr>
          <w:p>
            <w:r/>
            <w:r>
              <w:rPr>
                <w:sz w:val="18"/>
              </w:rPr>
              <w:t>ALLOW_PRIVATE_NETWORK / OUTBOUND_ALLOWLIST</w:t>
            </w:r>
          </w:p>
        </w:tc>
        <w:tc>
          <w:tcPr>
            <w:tcW w:type="dxa" w:w="5040"/>
          </w:tcPr>
          <w:p>
            <w:r/>
            <w:r>
              <w:rPr>
                <w:sz w:val="18"/>
              </w:rPr>
              <w:t>SSRF egress policy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