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MediSync AI</w:t>
      </w:r>
    </w:p>
    <w:p>
      <w:pPr>
        <w:pStyle w:val="Subtitle"/>
      </w:pPr>
      <w:r>
        <w:t>의약품과 영양제 통합 복용 관리 앱 프로젝트 제안서</w:t>
      </w:r>
    </w:p>
    <w:p>
      <w:r>
        <w:t>버전 1.0  |  2026년 10월 26일  |  2학년 1인 미니 프로젝트</w:t>
      </w:r>
    </w:p>
    <w:p>
      <w:pPr>
        <w:pStyle w:val="Heading2"/>
      </w:pPr>
      <w:r>
        <w:t>제안 개요</w:t>
      </w:r>
    </w:p>
    <w:p>
      <w:r>
        <w:t>MediSync AI는 약 봉투의 글자를 읽어 제품 등록을 돕고, 사용자가 확인한 성분을 기준으로 출처가 있는 주의정보와 복약 기록을 함께 제공하는 Android 앱이다. 알림을 닫는 행동과 복용 완료를 구분하고, 약을 놓쳤거나 기록하지 않은 상황에서 약별로 확인할 내용을 세 문장으로 안내한다.</w:t>
      </w:r>
    </w:p>
    <w:p>
      <w:r>
        <w:t>10주 동안 주당 12시간, 총 120시간을 기준으로 Android 앱과 소규모 읽기 전용 데이터 API를 구현한다. 개인 복용 이력은 기기에 저장한다. AI는 한국어 OCR에 사용하며 상호작용 판단과 누락 안내는 검토된 자료에 기반한 규칙으로 처리한다. 개인화는 설명 가능한 통계로 시작한다.</w:t>
      </w:r>
    </w:p>
    <w:tbl>
      <w:tblPr>
        <w:tblW w:type="auto" w:w="0"/>
        <w:jc w:val="center"/>
        <w:tblLayout w:type="fixed"/>
        <w:tblLook w:firstColumn="1" w:firstRow="1" w:lastColumn="0" w:lastRow="0" w:noHBand="0" w:noVBand="1" w:val="04A0"/>
      </w:tblPr>
      <w:tblGrid>
        <w:gridCol w:w="2438"/>
        <w:gridCol w:w="7200"/>
      </w:tblGrid>
      <w:tr>
        <w:trPr>
          <w:cantSplit/>
          <w:tblHeader/>
        </w:trPr>
        <w:tc>
          <w:tcPr>
            <w:tcW w:type="dxa" w:w="243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5EDF5"/>
          </w:tcPr>
          <w:p>
            <w:pPr>
              <w:spacing w:line="259" w:lineRule="auto" w:after="40" w:before="40"/>
            </w:pPr>
            <w:r>
              <w:rPr>
                <w:b/>
                <w:sz w:val="18"/>
              </w:rPr>
              <w:t>항목</w:t>
            </w:r>
          </w:p>
        </w:tc>
        <w:tc>
          <w:tcPr>
            <w:tcW w:type="dxa" w:w="720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5EDF5"/>
          </w:tcPr>
          <w:p>
            <w:pPr>
              <w:spacing w:line="259" w:lineRule="auto" w:after="40" w:before="40"/>
            </w:pPr>
            <w:r>
              <w:rPr>
                <w:b/>
                <w:sz w:val="18"/>
              </w:rPr>
              <w:t>제안 범위</w:t>
            </w:r>
          </w:p>
        </w:tc>
      </w:tr>
      <w:tr>
        <w:trPr>
          <w:cantSplit/>
        </w:trPr>
        <w:tc>
          <w:tcPr>
            <w:tcW w:type="dxa" w:w="243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사용자</w:t>
            </w:r>
          </w:p>
        </w:tc>
        <w:tc>
          <w:tcPr>
            <w:tcW w:type="dxa" w:w="720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본인의 의약품과 영양제를 함께 기록하려는 성인</w:t>
            </w:r>
          </w:p>
        </w:tc>
      </w:tr>
      <w:tr>
        <w:trPr>
          <w:cantSplit/>
        </w:trPr>
        <w:tc>
          <w:tcPr>
            <w:tcW w:type="dxa" w:w="243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개발 결과물</w:t>
            </w:r>
          </w:p>
        </w:tc>
        <w:tc>
          <w:tcPr>
            <w:tcW w:type="dxa" w:w="720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Android APK, 소스코드, 고정 버전 데이터, 테스트 결과, 시연 영상</w:t>
            </w:r>
          </w:p>
        </w:tc>
      </w:tr>
      <w:tr>
        <w:trPr>
          <w:cantSplit/>
        </w:trPr>
        <w:tc>
          <w:tcPr>
            <w:tcW w:type="dxa" w:w="243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초기 데이터</w:t>
            </w:r>
          </w:p>
        </w:tc>
        <w:tc>
          <w:tcPr>
            <w:tcW w:type="dxa" w:w="720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의약품 성분 8개와 영양제 성분 5개 후보, 제품 총 20개 이내</w:t>
            </w:r>
          </w:p>
        </w:tc>
      </w:tr>
      <w:tr>
        <w:trPr>
          <w:cantSplit/>
        </w:trPr>
        <w:tc>
          <w:tcPr>
            <w:tcW w:type="dxa" w:w="243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핵심 흐름</w:t>
            </w:r>
          </w:p>
        </w:tc>
        <w:tc>
          <w:tcPr>
            <w:tcW w:type="dxa" w:w="720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촬영 → 후보 확인 → 등록 → 주의정보 → 알림 → 복용 기록 → 분석</w:t>
            </w:r>
          </w:p>
        </w:tc>
      </w:tr>
      <w:tr>
        <w:trPr>
          <w:cantSplit/>
        </w:trPr>
        <w:tc>
          <w:tcPr>
            <w:tcW w:type="dxa" w:w="243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배포 수준</w:t>
            </w:r>
          </w:p>
        </w:tc>
        <w:tc>
          <w:tcPr>
            <w:tcW w:type="dxa" w:w="720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수업 평가용 비공개 시연 앱과 합성 데이터 중심 검증</w:t>
            </w:r>
          </w:p>
        </w:tc>
      </w:tr>
    </w:tbl>
    <w:p>
      <w:pPr>
        <w:spacing w:after="0"/>
      </w:pPr>
    </w:p>
    <w:p>
      <w:pPr>
        <w:pStyle w:val="Heading2"/>
      </w:pPr>
      <w:r>
        <w:t>해결하려는 문제와 차별점</w:t>
      </w:r>
    </w:p>
    <w:p>
      <w:r>
        <w:t>제품 이름만으로는 동일 성분이 포함된 약을 구별하기 어렵고 의약품과 영양제를 따로 관리하면 함께 확인해야 할 주의사항을 놓칠 수 있다. 단순 알림만으로는 실제 복용 여부를 알 수 없다. 이 프로젝트는 등록의 수고를 줄이고, 알림을 본 사실과 복용했다고 기록한 사실을 구분한다.</w:t>
      </w:r>
    </w:p>
    <w:p>
      <w:r>
        <w:t>차별점은 약별 세 문장 안내와 근거 추적, 자료 부족의 명시, 기록 기반 알림 개선이다. 불안을 유발하는 경고나 막연한 AI 상담보다 사용자가 확인하고 행동할 수 있는 짧은 정보를 제공한다. 복약 순응도 개선이나 부작용 감소는 검증할 연구 가설이며 이 프로젝트의 확정 효과로 주장하지 않는다.</w:t>
      </w:r>
    </w:p>
    <w:p>
      <w:pPr>
        <w:pStyle w:val="Heading2"/>
      </w:pPr>
      <w:r>
        <w:t>문서 구성</w:t>
      </w:r>
    </w:p>
    <w:p>
      <w:r>
        <w:t>1 제안 개요 · 2 MVP 범위 · 3 기능과 이용 흐름 · 4 구현과 데이터 · 5 일정과 위험 · 6 검증과 산출물 · 7 참고자료. 구체적인 DB와 API 및 상태 전이는 별도 소프트웨어 설계서에 정의한다.</w:t>
      </w:r>
    </w:p>
    <w:p>
      <w:r>
        <w:br w:type="page"/>
      </w:r>
    </w:p>
    <w:p>
      <w:pPr>
        <w:pStyle w:val="Heading1"/>
      </w:pPr>
      <w:r>
        <w:t>2 MVP 범위와 데이터 선정</w:t>
      </w:r>
    </w:p>
    <w:p>
      <w:r>
        <w:t>처음부터 모든 약을 지원하지 않는다. 제품 수보다 제품과 성분의 연결, 근거의 적용 조건, 모르는 경우의 표시를 정확히 구현하는 것이 우선이다. 아래 수치는 개발 목표이며 이미 확보된 데이터나 성능을 뜻하지 않는다.</w:t>
      </w:r>
    </w:p>
    <w:tbl>
      <w:tblPr>
        <w:tblW w:type="auto" w:w="0"/>
        <w:jc w:val="center"/>
        <w:tblLayout w:type="fixed"/>
        <w:tblLook w:firstColumn="1" w:firstRow="1" w:lastColumn="0" w:lastRow="0" w:noHBand="0" w:noVBand="1" w:val="04A0"/>
      </w:tblPr>
      <w:tblGrid>
        <w:gridCol w:w="1757"/>
        <w:gridCol w:w="3572"/>
        <w:gridCol w:w="4309"/>
      </w:tblGrid>
      <w:tr>
        <w:trPr>
          <w:cantSplit/>
          <w:tblHeader/>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5EDF5"/>
          </w:tcPr>
          <w:p>
            <w:pPr>
              <w:spacing w:line="259" w:lineRule="auto" w:after="40" w:before="40"/>
            </w:pPr>
            <w:r>
              <w:rPr>
                <w:b/>
                <w:sz w:val="18"/>
              </w:rPr>
              <w:t>우선순위</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5EDF5"/>
          </w:tcPr>
          <w:p>
            <w:pPr>
              <w:spacing w:line="259" w:lineRule="auto" w:after="40" w:before="40"/>
            </w:pPr>
            <w:r>
              <w:rPr>
                <w:b/>
                <w:sz w:val="18"/>
              </w:rPr>
              <w:t>포함 기능</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5EDF5"/>
          </w:tcPr>
          <w:p>
            <w:pPr>
              <w:spacing w:line="259" w:lineRule="auto" w:after="40" w:before="40"/>
            </w:pPr>
            <w:r>
              <w:rPr>
                <w:b/>
                <w:sz w:val="18"/>
              </w:rPr>
              <w:t>완료 기준</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P0 필수</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수동 검색과 약 봉투 OCR</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인식 후보를 사용자가 확인한 뒤 등록</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P0 필수</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성분 연결과 주의정보</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복합 성분, 출처, 확인일, 적용 조건 표시</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P0 필수</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알림과 세 문장 안내</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완료·재알림·미복용·응답 없음 구분</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P0 필수</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이력과 기본 분석</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7일 및 28일 기록, 시간대별 응답 집계</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P0 필수</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개인화 제안 한 종류</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반복 재알림 시 알림 표시 방식 개선 제안</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P1 확장</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검색 편의와 고급 분석</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자동완성, 데이터 확대, 간단한 예측 모델</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제외</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진단과 처방 최적화</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복용량 추천, 복용 시간 자동 변경, 안전 보장</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제외</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상용 서비스 기능</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계정, 보호자 공유, iOS, 병원 연계, 챗봇</w:t>
            </w:r>
          </w:p>
        </w:tc>
      </w:tr>
    </w:tbl>
    <w:p>
      <w:pPr>
        <w:spacing w:after="0"/>
      </w:pPr>
    </w:p>
    <w:p>
      <w:pPr>
        <w:pStyle w:val="Heading2"/>
      </w:pPr>
      <w:r>
        <w:t>초기 성분 후보</w:t>
      </w:r>
    </w:p>
    <w:p>
      <w:r>
        <w:t>의약품 후보는 아세트아미노펜, 이부프로펜, 나프록센, 세티리진, 로라타딘, 오메프라졸, 독시사이클린, 레보티록신의 8개다. 영양제 후보는 칼슘, 철분, 마그네슘, 아연, 비타민 D의 5개다. 자료 조사와 데이터 모델 시험을 위한 후보이며 복용 권장 목록이 아니다.</w:t>
      </w:r>
    </w:p>
    <w:p>
      <w:r>
        <w:t>2주 차에 국내 제품 허가정보와 주의정보를 확보할 수 있는 제품을 의약품 최대 15개, 영양제 최대 5개로 확정한다. 단일 성분 위주로 시작하되 복합제 1개를 포함해 다대다 관계를 시험한다. 원재료를 확정할 수 없는 제품은 미확인으로 보관하고 조합 평가에서 제외한다.</w:t>
      </w:r>
    </w:p>
    <w:p>
      <w:pPr>
        <w:pStyle w:val="Heading2"/>
      </w:pPr>
      <w:r>
        <w:t>데이터와 일정의 종료 기준</w:t>
      </w:r>
    </w:p>
    <w:p>
      <w:r>
        <w:t>제품 20개, 출처를 대조한 상호작용 규칙 최대 8개, 제품별 주의정보 최대 20개, 제품별 세 문장 안내 최소 5개를 목표로 한다. 근거가 부족하면 실제 제공 건수를 줄이고 기본 확인 안내로 대체한다. 숫자를 채우기 위해 의학 문구를 생성하지 않는다.</w:t>
      </w:r>
    </w:p>
    <w:p>
      <w:r>
        <w:t>자료 확보가 지연되면 제품을 10개로 줄이고 API는 고정 JSON 제공으로 단순화한다. 미확인 표시, 사용자 확인, 기록 상태 구분, 출처 표시는 축소하지 않는다. 지도교수와의 범위 검토 시 기능 추가보다 종료 가능한 범위 확정을 우선한다.</w:t>
      </w:r>
    </w:p>
    <w:p>
      <w:r>
        <w:br w:type="page"/>
      </w:r>
    </w:p>
    <w:p>
      <w:pPr>
        <w:pStyle w:val="Heading1"/>
      </w:pPr>
      <w:r>
        <w:t>3 기능과 사용자 경험</w:t>
      </w:r>
    </w:p>
    <w:p>
      <w:pPr>
        <w:pStyle w:val="Heading2"/>
      </w:pPr>
      <w:r>
        <w:t>대표 이용 시나리오</w:t>
      </w:r>
    </w:p>
    <w:p>
      <w:r>
        <w:t>사용자는 약 봉투를 촬영하고 이름이나 병원 정보가 포함된 영역을 제외한다. 앱은 기기 안에서 글자를 읽고 후보를 보여준다. 사용자는 제품명, 제조사, 함량, 제형과 성분을 확인한다. 복용 횟수와 시각은 처방 지시를 보며 직접 입력하며 OCR은 이를 자동 확정하지 않는다.</w:t>
      </w:r>
    </w:p>
    <w:p>
      <w:r>
        <w:t>약과 영양제를 함께 등록하면 성분 조합을 조회하고 확인된 주의정보와 평가하지 못한 성분을 함께 표시한다. 상세 화면에서는 부작용 정보, 원문, 적용 대상과 출처를 확인한다. 정보가 없다는 사실을 함께 먹어도 안전하다는 뜻으로 표시하지 않는다.</w:t>
      </w:r>
    </w:p>
    <w:tbl>
      <w:tblPr>
        <w:tblW w:type="auto" w:w="0"/>
        <w:jc w:val="center"/>
        <w:tblLayout w:type="fixed"/>
        <w:tblLook w:firstColumn="1" w:firstRow="1" w:lastColumn="0" w:lastRow="0" w:noHBand="0" w:noVBand="1" w:val="04A0"/>
      </w:tblPr>
      <w:tblGrid>
        <w:gridCol w:w="1757"/>
        <w:gridCol w:w="3572"/>
        <w:gridCol w:w="4309"/>
      </w:tblGrid>
      <w:tr>
        <w:trPr>
          <w:cantSplit/>
          <w:tblHeader/>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5EDF5"/>
          </w:tcPr>
          <w:p>
            <w:pPr>
              <w:spacing w:line="259" w:lineRule="auto" w:after="40" w:before="40"/>
            </w:pPr>
            <w:r>
              <w:rPr>
                <w:b/>
                <w:sz w:val="18"/>
              </w:rPr>
              <w:t>사용자 행동</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5EDF5"/>
          </w:tcPr>
          <w:p>
            <w:pPr>
              <w:spacing w:line="259" w:lineRule="auto" w:after="40" w:before="40"/>
            </w:pPr>
            <w:r>
              <w:rPr>
                <w:b/>
                <w:sz w:val="18"/>
              </w:rPr>
              <w:t>앱 동작</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5EDF5"/>
          </w:tcPr>
          <w:p>
            <w:pPr>
              <w:spacing w:line="259" w:lineRule="auto" w:after="40" w:before="40"/>
            </w:pPr>
            <w:r>
              <w:rPr>
                <w:b/>
                <w:sz w:val="18"/>
              </w:rPr>
              <w:t>기록의 의미</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복용 완료</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복용한 시각 확인 후 저장</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사용자가 복용했다고 보고함</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10분 뒤 알림</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같은 복용 건에 재알림 예약</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복용 시각이나 처방 변경 아님</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복용하지 않음</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명시적 미복용 기록</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누락 원인을 자동 추정하지 않음</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닫기 또는 무응답</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완료로 바꾸지 않음</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기록 마감 후 응답 없음 표시</w:t>
            </w:r>
          </w:p>
        </w:tc>
      </w:tr>
    </w:tbl>
    <w:p>
      <w:pPr>
        <w:spacing w:after="0"/>
      </w:pPr>
    </w:p>
    <w:p>
      <w:pPr>
        <w:pStyle w:val="Heading2"/>
      </w:pPr>
      <w:r>
        <w:t>세 문장 안내의 역할</w:t>
      </w:r>
    </w:p>
    <w:p>
      <w:r>
        <w:t>세 문장은 공포를 유발하는 경고가 아니라 약별 확인사항의 요약이다. 첫 문장은 복용 목적이나 일정의 의미, 두 번째 문장은 누락 시 확인할 사항, 세 번째 문장은 원문 확인이나 전문가 문의 행동을 담는다. 약물별 근거가 있는 범위에서만 작성하며 임의의 복용 간격이나 보충 복용량은 만들지 않는다.</w:t>
      </w:r>
    </w:p>
    <w:p>
      <w:r>
        <w:t>문구가 없는 제품의 기본 예시: ① 이 약의 복용 누락 안내를 아직 확인하지 못했어요. ② 처방전이나 제품 설명서의 안내를 확인해 주세요. ③ 다음 복용 방법이 불명확하면 약사나 처방 의료진에게 문의하세요. 이는 서비스 안내이며 개별 약물의 누락 처치법이 아니다.</w:t>
      </w:r>
    </w:p>
    <w:p>
      <w:pPr>
        <w:pStyle w:val="Heading2"/>
      </w:pPr>
      <w:r>
        <w:t>기록 기반 개인화</w:t>
      </w:r>
    </w:p>
    <w:p>
      <w:r>
        <w:t>최근 14일 동안 동일 시각대에 7회 이상 알림이 예정되었고 3회 이상 재알림을 사용했다면 알림 글자 확대 또는 사용자가 허용한 추가 재알림을 제안한다. 이유와 집계 기간을 표시하고 사용자가 적용한다. 복약 시각은 그대로 두며 미응답을 미복용으로 단정하지 않는다.</w:t>
      </w:r>
    </w:p>
    <w:p>
      <w:r>
        <w:t>필요 시 복용 약과 일반 영양제에 동일한 위험 문구를 적용하지 않는다. 필요 시 약은 정기 복용률의 분모에서 제외하며, 일반 영양제에 대해 한 번 놓쳤다는 이유로 위험을 과장하지 않는다.</w:t>
      </w:r>
    </w:p>
    <w:p>
      <w:r>
        <w:br w:type="page"/>
      </w:r>
    </w:p>
    <w:p>
      <w:pPr>
        <w:pStyle w:val="Heading1"/>
      </w:pPr>
      <w:r>
        <w:t>4 구현과 데이터 전략</w:t>
      </w:r>
    </w:p>
    <w:tbl>
      <w:tblPr>
        <w:tblW w:type="auto" w:w="0"/>
        <w:jc w:val="center"/>
        <w:tblLayout w:type="fixed"/>
        <w:tblLook w:firstColumn="1" w:firstRow="1" w:lastColumn="0" w:lastRow="0" w:noHBand="0" w:noVBand="1" w:val="04A0"/>
      </w:tblPr>
      <w:tblGrid>
        <w:gridCol w:w="1757"/>
        <w:gridCol w:w="3572"/>
        <w:gridCol w:w="4309"/>
      </w:tblGrid>
      <w:tr>
        <w:trPr>
          <w:cantSplit/>
          <w:tblHeader/>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5EDF5"/>
          </w:tcPr>
          <w:p>
            <w:pPr>
              <w:spacing w:line="259" w:lineRule="auto" w:after="40" w:before="40"/>
            </w:pPr>
            <w:r>
              <w:rPr>
                <w:b/>
                <w:sz w:val="18"/>
              </w:rPr>
              <w:t>구성</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5EDF5"/>
          </w:tcPr>
          <w:p>
            <w:pPr>
              <w:spacing w:line="259" w:lineRule="auto" w:after="40" w:before="40"/>
            </w:pPr>
            <w:r>
              <w:rPr>
                <w:b/>
                <w:sz w:val="18"/>
              </w:rPr>
              <w:t>선택</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5EDF5"/>
          </w:tcPr>
          <w:p>
            <w:pPr>
              <w:spacing w:line="259" w:lineRule="auto" w:after="40" w:before="40"/>
            </w:pPr>
            <w:r>
              <w:rPr>
                <w:b/>
                <w:sz w:val="18"/>
              </w:rPr>
              <w:t>선택 이유</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모바일</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Kotlin과 Jetpack Compose</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Android 알림과 기기 OCR을 한 환경에서 구현</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기기 저장</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Room 기반 SQLite</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오프라인 기록과 트랜잭션 처리</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OCR</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ML Kit 한국어 번들 모델</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기기 안에서 처리하고 학습 부담 축소 [S5]</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읽기 API</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FastAPI와 고정 데이터 묶음</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카탈로그 배포와 API 학습에 한정</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안전정보</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검토 규칙과 출처 조회</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추적 가능하고 반복 가능한 결과</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개인화</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기기 내 통계와 조건 규칙</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소량 기록으로 설명 가능한 제안</w:t>
            </w:r>
          </w:p>
        </w:tc>
      </w:tr>
    </w:tbl>
    <w:p>
      <w:pPr>
        <w:spacing w:after="0"/>
      </w:pPr>
    </w:p>
    <w:p>
      <w:pPr>
        <w:pStyle w:val="Heading2"/>
      </w:pPr>
      <w:r>
        <w:t>공식 데이터의 역할과 한계</w:t>
      </w:r>
    </w:p>
    <w:p>
      <w:r>
        <w:t>e약은요는 일반의약품 제품별 상호작용·부작용 등의 설명을 제공하므로 모든 처방약의 성분 DB나 완전한 영양제 상호작용 엔진으로 쓰지 않는다 [S1]. 제품 식별과 주성분은 허가정보를 우선 확인하고 DUR는 해당 데이터가 다루는 금기·주의 유형에 한정해 참고한다 [S2, S9].</w:t>
      </w:r>
    </w:p>
    <w:p>
      <w:r>
        <w:t>건강기능식품은 품목제조번호, 제품명, 원재료와 섭취 시 주의사항을 확인한다 [S3]. 비정형 문장만으로 모든 성분 함량을 확정하지 않는다. 약물과 영양제 조합은 국내 제품 허가사항을 우선하며 NIH ODS 같은 보조 근거를 쓸 때 국가·제형 차이를 표시한다 [S4].</w:t>
      </w:r>
    </w:p>
    <w:p>
      <w:pPr>
        <w:pStyle w:val="Heading2"/>
      </w:pPr>
      <w:r>
        <w:t>검증과 발행 절차</w:t>
      </w:r>
    </w:p>
    <w:p>
      <w:r>
        <w:t>원문 확보 → 성분과 적용 조건 정규화 → 요약 초안 → 원문 대조 → 검토 상태 지정 → 버전 발행 순서로 관리한다. 학생의 원문 대조와 의료 전문가의 임상 검토를 구분한다. 전문가 검토가 없는 요약은 수업용 시연 상태로 표시하고 실제 복약 의사결정용으로 배포하지 않는다.</w:t>
      </w:r>
    </w:p>
    <w:p>
      <w:pPr>
        <w:pStyle w:val="Heading2"/>
      </w:pPr>
      <w:r>
        <w:t>개인정보와 운영</w:t>
      </w:r>
    </w:p>
    <w:p>
      <w:r>
        <w:t>약 봉투 사진과 OCR 전체 텍스트는 서버로 보내지 않는다. 공개 카탈로그 전체를 내려받아 기기에서 검색한다. 복용 기록에는 이름·주민등록번호·진단명을 요구하지 않으며 삭제 기능과 잠금화면 내용 숨김을 제공한다. 건강정보는 민감정보에 해당하므로 실제 이용자 대상으로 확장할 때 처리 근거, 별도 동의와 안전조치를 검토한다 [S8].</w:t>
      </w:r>
    </w:p>
    <w:p>
      <w:r>
        <w:t>개발과 시연은 가상의 사용자 및 합성 약 봉투를 기본으로 한다. 현재 목표는 교육용 기능 구현이며, 실제 서비스 전환 시 의료기기 해당 여부와 개인정보 처리 요건을 기능 및 운영 방식에 맞춰 별도 검토한다.</w:t>
      </w:r>
    </w:p>
    <w:p>
      <w:r>
        <w:br w:type="page"/>
      </w:r>
    </w:p>
    <w:p>
      <w:pPr>
        <w:pStyle w:val="Heading1"/>
      </w:pPr>
      <w:r>
        <w:t>5 개발 일정과 위험 관리</w:t>
      </w:r>
    </w:p>
    <w:p>
      <w:r>
        <w:t>기본 일정은 10주 120시간이다. 시간은 계획 추정치이며 Kotlin과 기초 SQL을 학습한 상태를 가정한다. 처음 배우는 경우 2주를 추가하거나 제품 수와 서버 범위를 줄인다.</w:t>
      </w:r>
    </w:p>
    <w:tbl>
      <w:tblPr>
        <w:tblW w:type="auto" w:w="0"/>
        <w:jc w:val="center"/>
        <w:tblLayout w:type="fixed"/>
        <w:tblLook w:firstColumn="1" w:firstRow="1" w:lastColumn="0" w:lastRow="0" w:noHBand="0" w:noVBand="1" w:val="04A0"/>
      </w:tblPr>
      <w:tblGrid>
        <w:gridCol w:w="1757"/>
        <w:gridCol w:w="3572"/>
        <w:gridCol w:w="4309"/>
      </w:tblGrid>
      <w:tr>
        <w:trPr>
          <w:cantSplit/>
          <w:tblHeader/>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5EDF5"/>
          </w:tcPr>
          <w:p>
            <w:pPr>
              <w:spacing w:line="259" w:lineRule="auto" w:after="40" w:before="40"/>
            </w:pPr>
            <w:r>
              <w:rPr>
                <w:b/>
                <w:sz w:val="18"/>
              </w:rPr>
              <w:t>주차와 시간</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5EDF5"/>
          </w:tcPr>
          <w:p>
            <w:pPr>
              <w:spacing w:line="259" w:lineRule="auto" w:after="40" w:before="40"/>
            </w:pPr>
            <w:r>
              <w:rPr>
                <w:b/>
                <w:sz w:val="18"/>
              </w:rPr>
              <w:t>주요 작업</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5EDF5"/>
          </w:tcPr>
          <w:p>
            <w:pPr>
              <w:spacing w:line="259" w:lineRule="auto" w:after="40" w:before="40"/>
            </w:pPr>
            <w:r>
              <w:rPr>
                <w:b/>
                <w:sz w:val="18"/>
              </w:rPr>
              <w:t>완료 기준</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1주 12시간</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요구사항, 화면, 저장소 구성</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수동 등록에서 오늘 목록까지 연결</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2주 12시간</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자료 조사와 데이터 모델</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제품 확정, 출처 표와 규칙 샘플</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3주 12시간</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Room, 검색, 등록</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복합 성분 조회와 수정·삭제</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4주 12시간</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OCR와 후보 확인</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모호한 후보 및 수동 입력 전환</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5주 12시간</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상호작용과 부작용</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미확인 표시와 출처 상세</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6주 12시간</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알림과 상태 처리</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재알림·완료·미복용의 중복 방지</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7주 12시간</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세 문장 안내와 이력</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제품별 문구와 기본 안내 분기</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8주 12시간</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분석과 읽기 API</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기간별 통계와 카탈로그 업데이트</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9주 12시간</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통합 및 안전성 검증</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오프라인·재부팅·권한 거부 시험</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10주 12시간</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수정, 문서, 시연</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테스트 보고서와 재현 가능한 데모</w:t>
            </w:r>
          </w:p>
        </w:tc>
      </w:tr>
    </w:tbl>
    <w:p>
      <w:pPr>
        <w:spacing w:after="0"/>
      </w:pPr>
    </w:p>
    <w:p>
      <w:pPr>
        <w:pStyle w:val="Heading2"/>
      </w:pPr>
      <w:r>
        <w:t>주요 위험과 대응</w:t>
      </w:r>
    </w:p>
    <w:p>
      <w:r>
        <w:t>데이터 공백은 미확인 표시로 처리한다. 2주 차에 범위를 동결하고 API 승인 지연은 출처가 기록된 수동 데이터로 대응한다. OCR은 함량과 제형이 다른 제품을 자동 등록하지 않으며 실패 시 수동 검색을 제공한다.</w:t>
      </w:r>
    </w:p>
    <w:p>
      <w:r>
        <w:t>알림은 권한·절전·재부팅 상태를 점검하고 표시 실패를 미복용으로 계산하지 않는다. 특정 환경에서 전달을 보장한다고 주장하지 않는다. 회원가입·클라우드 복용 기록·생성형 상담은 제외하며 8주 차까지 필수 흐름을 완성한다.</w:t>
      </w:r>
    </w:p>
    <w:p>
      <w:r>
        <w:t>예산은 개인 보유 PC와 Android 기기, 로컬 개발 환경을 기본으로 한다. 유료 생성형 AI나 클라우드 OCR은 필수 비용에 넣지 않는다. 공개 서버 비용과 데이터 이용 조건은 배포 결정 시 별도 확인한다.</w:t>
      </w:r>
    </w:p>
    <w:p>
      <w:r>
        <w:br w:type="page"/>
      </w:r>
    </w:p>
    <w:p>
      <w:pPr>
        <w:pStyle w:val="Heading1"/>
      </w:pPr>
      <w:r>
        <w:t>6 검증 기준과 최종 산출물</w:t>
      </w:r>
    </w:p>
    <w:p>
      <w:r>
        <w:t>평가는 임상 효과가 아니라 소프트웨어의 정확성, 실패 처리, 근거 추적성으로 한다. 아래 값은 목표치이며 실제 측정 성능이 아니다.</w:t>
      </w:r>
    </w:p>
    <w:tbl>
      <w:tblPr>
        <w:tblW w:type="auto" w:w="0"/>
        <w:jc w:val="center"/>
        <w:tblLayout w:type="fixed"/>
        <w:tblLook w:firstColumn="1" w:firstRow="1" w:lastColumn="0" w:lastRow="0" w:noHBand="0" w:noVBand="1" w:val="04A0"/>
      </w:tblPr>
      <w:tblGrid>
        <w:gridCol w:w="1757"/>
        <w:gridCol w:w="3572"/>
        <w:gridCol w:w="4309"/>
      </w:tblGrid>
      <w:tr>
        <w:trPr>
          <w:cantSplit/>
          <w:tblHeader/>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5EDF5"/>
          </w:tcPr>
          <w:p>
            <w:pPr>
              <w:spacing w:line="259" w:lineRule="auto" w:after="40" w:before="40"/>
            </w:pPr>
            <w:r>
              <w:rPr>
                <w:b/>
                <w:sz w:val="18"/>
              </w:rPr>
              <w:t>평가 항목</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5EDF5"/>
          </w:tcPr>
          <w:p>
            <w:pPr>
              <w:spacing w:line="259" w:lineRule="auto" w:after="40" w:before="40"/>
            </w:pPr>
            <w:r>
              <w:rPr>
                <w:b/>
                <w:sz w:val="18"/>
              </w:rPr>
              <w:t>검증 방법</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5EDF5"/>
          </w:tcPr>
          <w:p>
            <w:pPr>
              <w:spacing w:line="259" w:lineRule="auto" w:after="40" w:before="40"/>
            </w:pPr>
            <w:r>
              <w:rPr>
                <w:b/>
                <w:sz w:val="18"/>
              </w:rPr>
              <w:t>통과 목표</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OCR와 제품 후보</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60장 중 개발 30장과 평가 30장 분리</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평가 30장 Top 3 정답 포함률 90% 이상</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자동 확정 방지</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함량·제형 혼동 10건 및 미지원 10건</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사용자 확인 없는 등록 0건</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조합 조회</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주의·조건 불명·정보 없음 등 30건</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예상 상태와 결과 30건 일치</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근거 연결</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노출되는 정보와 문구 전수 점검</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출처·조건·검토 상태 누락 0건</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알림과 상태</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권한 허용 정상 조건 20회 예약</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목표 시각 ±60초 내 표시 19회 이상</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실패 환경</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권한 거부·재부팅·오프라인 시험</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완료 오기록 및 중복 완료 0건</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사용성</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성인 3명, 합성 약 봉투 과제</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3명 모두 등록과 기록 과제 완료</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개인정보</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기록·로그·서버 요청 점검</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사진·복용 이력 외부 전송 0건</w:t>
            </w:r>
          </w:p>
        </w:tc>
      </w:tr>
    </w:tbl>
    <w:p>
      <w:pPr>
        <w:spacing w:after="0"/>
      </w:pPr>
    </w:p>
    <w:p>
      <w:pPr>
        <w:pStyle w:val="Heading2"/>
      </w:pPr>
      <w:r>
        <w:t>최종 제출물</w:t>
      </w:r>
    </w:p>
    <w:p>
      <w:r>
        <w:t>• Android APK, 설치 안내, 지원 기기와 기능 제한 목록</w:t>
      </w:r>
    </w:p>
    <w:p>
      <w:r>
        <w:t>• 앱과 읽기 API 소스, 실행 방법, 의존성 버전, DB 스키마 및 마이그레이션</w:t>
      </w:r>
    </w:p>
    <w:p>
      <w:r>
        <w:t>• 출처가 포함된 카탈로그와 규칙, 데이터 버전과 검토 기록</w:t>
      </w:r>
    </w:p>
    <w:p>
      <w:r>
        <w:t>• 테스트 입력·정답·결과 표, 재현 절차, 남아 있는 결함</w:t>
      </w:r>
    </w:p>
    <w:p>
      <w:r>
        <w:t>• 프로젝트 제안서, 소프트웨어 설계서, 5분 이내 시연 영상</w:t>
      </w:r>
    </w:p>
    <w:p>
      <w:pPr>
        <w:pStyle w:val="Heading2"/>
      </w:pPr>
      <w:r>
        <w:t>완료 판단</w:t>
      </w:r>
    </w:p>
    <w:p>
      <w:r>
        <w:t>필수 기능을 끝까지 시연할 수 있고 근거 없는 안전 판정·자동 복용 완료·임의 처방 변경이 없어야 한다. 성능 목표를 충족하지 못하면 측정값과 조건을 공개하고 지원 범위를 축소한다. 자료 부족을 사용자가 명확히 알아볼 수 있어야 한다.</w:t>
      </w:r>
    </w:p>
    <w:p>
      <w:r>
        <w:t>후속 연구는 실제 사용자의 자발적 참여와 별도 검토를 거쳐 진행한다. 향후 AI 예측을 추가하더라도 권고 근거, 실패 시 기본 동작, 처방 변경 금지 원칙을 유지한다.</w:t>
      </w:r>
    </w:p>
    <w:p>
      <w:r>
        <w:br w:type="page"/>
      </w:r>
    </w:p>
    <w:p>
      <w:pPr>
        <w:pStyle w:val="Heading1"/>
      </w:pPr>
      <w:r>
        <w:t>7 참고자료</w:t>
      </w:r>
    </w:p>
    <w:p>
      <w:r>
        <w:t>자료 확인일은 2026년 10월 26일이다. 링크는 제공 범위와 기술 조건을 확인하기 위한 자료다. 개별 제품의 복약 지침은 구현 시 해당 원문과 개정일을 다시 확인한다.</w:t>
      </w:r>
    </w:p>
    <w:p>
      <w:r>
        <w:t>[S1] 식약처 의약품개요정보 e약은요</w:t>
      </w:r>
    </w:p>
    <w:p>
      <w:r>
        <w:t>https://www.data.go.kr/data/15075057/openapi.do</w:t>
      </w:r>
    </w:p>
    <w:p>
      <w:r>
        <w:t>[S2] 식의약 데이터 포털 의약품 제품 허가정보 및 DUR 데이터</w:t>
      </w:r>
    </w:p>
    <w:p>
      <w:r>
        <w:t>https://data.mfds.go.kr/?selectedTab=tab1</w:t>
      </w:r>
    </w:p>
    <w:p>
      <w:r>
        <w:t>[S3] 식품안전나라 건강기능식품 품목제조 신고사항 I0030</w:t>
      </w:r>
    </w:p>
    <w:p>
      <w:r>
        <w:t>https://www.foodsafetykorea.go.kr/api/openApiInfo.do?svc_no=I0030</w:t>
      </w:r>
    </w:p>
    <w:p>
      <w:r>
        <w:t>[S4] NIH ODS Calcium Health Professional Fact Sheet</w:t>
      </w:r>
    </w:p>
    <w:p>
      <w:r>
        <w:t>https://ods.od.nih.gov/factsheets/Calcium-HealthProfessional/</w:t>
      </w:r>
    </w:p>
    <w:p>
      <w:r>
        <w:t>[S5] Google ML Kit Android Text Recognition</w:t>
      </w:r>
    </w:p>
    <w:p>
      <w:r>
        <w:t>https://developers.google.com/ml-kit/vision/text-recognition/v2/android</w:t>
      </w:r>
    </w:p>
    <w:p>
      <w:r>
        <w:t>[S6] Android Developers Schedule alarms</w:t>
      </w:r>
    </w:p>
    <w:p>
      <w:r>
        <w:t>https://developer.android.com/develop/background-work/services/alarms</w:t>
      </w:r>
    </w:p>
    <w:p>
      <w:r>
        <w:t>[S7] Android Developers Notification runtime permission</w:t>
      </w:r>
    </w:p>
    <w:p>
      <w:r>
        <w:t>https://developer.android.com/develop/ui/compose/notifications/notification-permission</w:t>
      </w:r>
    </w:p>
    <w:p>
      <w:r>
        <w:t>[S8] 국가법령정보센터 개인정보 보호법 제23조</w:t>
      </w:r>
    </w:p>
    <w:p>
      <w:r>
        <w:t>https://www.law.go.kr/LSW/lsLinkCommonInfo.do?lsJoLnkSeq=1006185763</w:t>
      </w:r>
    </w:p>
    <w:p>
      <w:r>
        <w:t>[S9] 건강보험심사평가원 DUR 국민 체험관</w:t>
      </w:r>
    </w:p>
    <w:p>
      <w:r>
        <w:t>https://www.hira.or.kr/ra/medi/form.do?pgmid=HIRAA030029000000</w:t>
      </w:r>
    </w:p>
    <w:sectPr w:rsidR="00FC693F" w:rsidRPr="0006063C" w:rsidSect="00034616">
      <w:footerReference w:type="default" r:id="rId9"/>
      <w:pgSz w:w="11906" w:h="16838"/>
      <w:pgMar w:top="1020" w:right="1134" w:bottom="1020"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MediSync AI  |  프로젝트 제안서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맑은 고딕" w:hAnsi="맑은 고딕" w:eastAsia="맑은 고딕"/>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line="276" w:lineRule="auto"/>
      <w:outlineLvl w:val="0"/>
    </w:pPr>
    <w:rPr>
      <w:rFonts w:asciiTheme="majorHAnsi" w:eastAsiaTheme="majorEastAsia" w:hAnsiTheme="majorHAnsi" w:cstheme="majorBidi" w:ascii="맑은 고딕" w:hAnsi="맑은 고딕" w:eastAsia="맑은 고딕"/>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line="276" w:lineRule="auto"/>
      <w:outlineLvl w:val="1"/>
    </w:pPr>
    <w:rPr>
      <w:rFonts w:asciiTheme="majorHAnsi" w:eastAsiaTheme="majorEastAsia" w:hAnsiTheme="majorHAnsi" w:cstheme="majorBidi" w:ascii="맑은 고딕" w:hAnsi="맑은 고딕"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76" w:lineRule="auto"/>
      <w:contextualSpacing/>
    </w:pPr>
    <w:rPr>
      <w:rFonts w:asciiTheme="majorHAnsi" w:eastAsiaTheme="majorEastAsia" w:hAnsiTheme="majorHAnsi" w:cstheme="majorBidi" w:ascii="맑은 고딕" w:hAnsi="맑은 고딕" w:eastAsia="맑은 고딕"/>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76" w:lineRule="auto"/>
    </w:pPr>
    <w:rPr>
      <w:rFonts w:asciiTheme="majorHAnsi" w:eastAsiaTheme="majorEastAsia" w:hAnsiTheme="majorHAnsi" w:cstheme="majorBidi" w:ascii="맑은 고딕" w:hAnsi="맑은 고딕" w:eastAsia="맑은 고딕"/>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MediSync AI 프로젝트 제안서</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