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9A50" w14:textId="77777777" w:rsidR="009F55D0" w:rsidRDefault="009F55D0">
      <w:r>
        <w:rPr>
          <w:rFonts w:hint="eastAsia"/>
        </w:rPr>
        <w:t>H</w:t>
      </w:r>
      <w:r>
        <w:t xml:space="preserve">W5 </w:t>
      </w:r>
    </w:p>
    <w:p w14:paraId="6E3281DD" w14:textId="2B8E806D" w:rsidR="009F55D0" w:rsidRDefault="009F55D0">
      <w:r>
        <w:t>by 20171645</w:t>
      </w:r>
    </w:p>
    <w:p w14:paraId="6526B503" w14:textId="1C39BDC9" w:rsidR="00A86926" w:rsidRDefault="009F55D0">
      <w:r>
        <w:rPr>
          <w:noProof/>
        </w:rPr>
        <w:drawing>
          <wp:inline distT="0" distB="0" distL="0" distR="0" wp14:anchorId="362E8354" wp14:editId="4D65560B">
            <wp:extent cx="5724525" cy="4295775"/>
            <wp:effectExtent l="0" t="9525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B8D89" wp14:editId="69B7BF60">
            <wp:extent cx="5724525" cy="4295775"/>
            <wp:effectExtent l="0" t="9525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D44A" w14:textId="632AF924" w:rsidR="009F55D0" w:rsidRDefault="009F55D0"/>
    <w:p w14:paraId="02A4C741" w14:textId="0056C7C0" w:rsidR="009F55D0" w:rsidRDefault="009F55D0">
      <w:pPr>
        <w:rPr>
          <w:rFonts w:hint="eastAsia"/>
        </w:rPr>
      </w:pPr>
      <w:r>
        <w:rPr>
          <w:rFonts w:hint="eastAsia"/>
        </w:rPr>
        <w:t>6</w:t>
      </w:r>
      <w:r>
        <w:t>. If local variable is declared as static. Static modifier makes variable history-sensitive.</w:t>
      </w:r>
    </w:p>
    <w:sectPr w:rsidR="009F5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D0"/>
    <w:rsid w:val="009F55D0"/>
    <w:rsid w:val="00A8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1940"/>
  <w15:chartTrackingRefBased/>
  <w15:docId w15:val="{600D550C-FE2E-4D11-90D0-A3EE006C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1</cp:revision>
  <dcterms:created xsi:type="dcterms:W3CDTF">2021-05-22T14:47:00Z</dcterms:created>
  <dcterms:modified xsi:type="dcterms:W3CDTF">2021-05-22T14:50:00Z</dcterms:modified>
</cp:coreProperties>
</file>