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174766F4" w14:textId="139992A9" w:rsidR="009D2939" w:rsidRPr="00C531DB" w:rsidRDefault="005F2925">
      <w:pPr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Product-minded commercial specialist with 7 years shipping internal products and B2B growth across Apple, Bank of China and Huawei, now owning portfolio and commercial strategy for a pan-European telecom operator group. A </w:t>
      </w:r>
      <w:r w:rsidR="00484BE4">
        <w:rPr>
          <w:sz w:val="20"/>
          <w:szCs w:val="20"/>
        </w:rPr>
        <w:t>tr</w:t>
      </w:r>
      <w:r>
        <w:rPr>
          <w:sz w:val="20"/>
          <w:szCs w:val="20"/>
        </w:rPr>
        <w:t>ilingual English/</w:t>
      </w:r>
      <w:r w:rsidR="00484BE4">
        <w:rPr>
          <w:sz w:val="20"/>
          <w:szCs w:val="20"/>
        </w:rPr>
        <w:t>Cantonese/</w:t>
      </w:r>
      <w:r>
        <w:rPr>
          <w:sz w:val="20"/>
          <w:szCs w:val="20"/>
        </w:rPr>
        <w:t xml:space="preserve">Mandarin bridge between APAC headquarters and EMEA enterprise customers across presales, RFP response, pricing and go-to-market. Hands-on AI builder who ships LLM and RAG products end to end. 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Huawei Technologies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London, United Kingdom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Portfolio Solutions &amp; Commercial Sales Specialist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May 2026 – Present</w:t>
      </w:r>
    </w:p>
    <w:p w14:paraId="2E9F5801" w14:textId="5D6E97CA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Own portfolio solutions and commercial strategy</w:t>
      </w:r>
      <w:r w:rsidR="00484BE4">
        <w:rPr>
          <w:sz w:val="20"/>
          <w:szCs w:val="20"/>
        </w:rPr>
        <w:t>, leading account team</w:t>
      </w:r>
      <w:r>
        <w:rPr>
          <w:sz w:val="20"/>
          <w:szCs w:val="20"/>
        </w:rPr>
        <w:t xml:space="preserve"> for a pan-European telecom operator group spanning 5 country markets, translating China HQ product roadmaps into regional strategy in English and Mandarin.</w:t>
      </w:r>
    </w:p>
    <w:p w14:paraId="294562AD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Co-authoring the regional fixed wireless broadband business development roadmap with the European product lead, aligning HQ product lines with operator demand across 5 markets.</w:t>
      </w:r>
    </w:p>
    <w:p w14:paraId="780D964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Support group-level bid responses and pricing analysis, coordinating a cross-functional squad of account managers, channel GTM operations and technical architects.</w:t>
      </w:r>
    </w:p>
    <w:p w14:paraId="3C4A82FF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Bank of China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119057D1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Product Analyst — BOC Pay &amp; e-Banking Platform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Sep 2023 – Oct 2024</w:t>
      </w:r>
    </w:p>
    <w:p w14:paraId="6985A4F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Delivered 100% of HKMA regulatory mandates inside a strict 14-day window by translating regulation into a technical implementation plan and orchestrating internal teams and third-party vendors to ship Geo-IP fraud detection with Impossible Travel logic.</w:t>
      </w:r>
    </w:p>
    <w:p w14:paraId="4716B93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De-risked the BOC Pay launch across 4 global regions and saved 15 man-days of project budget by designing a follow-the-sun, 24-hour synchronised UAT plan and leading a 3-person analyst team through delivery.</w:t>
      </w:r>
    </w:p>
    <w:p w14:paraId="4DCBC41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Recovered 1,000+ hours per year of cross-functional capacity across 50+ teams by deploying a centralised Grafana observability framework that retired 50+ manual weekly reporting touchpoints.</w:t>
      </w:r>
    </w:p>
    <w:p w14:paraId="1D2DF1FC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Drove adoption of the observability framework by presenting live demos to 30+ system leads and department heads, resolving 80% of technical queries in the first session.</w:t>
      </w:r>
    </w:p>
    <w:p w14:paraId="06A9054D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Cut 15 man-days of vendor-evaluation churn by converting fragmented infrastructure needs into a MoSCoW-prioritised vendor roadmap validated through a Red Hat proof of concept.</w:t>
      </w:r>
    </w:p>
    <w:p w14:paraId="1D3D09A8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49A82BBA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Operations Strategy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Jul 2021 – Aug 2023</w:t>
      </w:r>
    </w:p>
    <w:p w14:paraId="53A2532A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Protected 100% operational uptime and sustained a 92 NPS through the EasyPay POS migration by leading 10+ Floor Champions with floor-level execution playbooks.</w:t>
      </w:r>
    </w:p>
    <w:p w14:paraId="155D4EDF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Influenced the Shanghai development team to shift from centralised demo training to store-specific delivery by presenting evidence that operations varied across locations.</w:t>
      </w:r>
    </w:p>
    <w:p w14:paraId="37A787F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Eliminated ~1,500 manual hours per year across 6 flagship stores by shipping a self-sustaining reporting architecture that gave regional directors real-time labour insights.</w:t>
      </w:r>
    </w:p>
    <w:p w14:paraId="31180F75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Drove adoption across all 6 flagship stores by walking every store leader through the tool via live demo, then handing over operational ownership with a fallback plan.</w:t>
      </w:r>
    </w:p>
    <w:p w14:paraId="0315D798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Recovered 400+ leadership hours per year by diagnosing an 8-hour weekly productivity drain and shipping a zero-to-one digital ticketing system adopted store-wide.</w:t>
      </w:r>
    </w:p>
    <w:p w14:paraId="77FC9EC2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31636FB1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Business Development, Corporate Solutions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Aug 2019 – Jul 2021</w:t>
      </w:r>
    </w:p>
    <w:p w14:paraId="557BEB19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Shifted the B2B team from reactive tracking to proactive account retention by building diagnostic models across a 50+ account portfolio, isolating 12+ root causes of missed revenue.</w:t>
      </w:r>
    </w:p>
    <w:p w14:paraId="0DF710BA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Removed peak-time scheduling conflicts for a 200+ person workforce and recovered 5 hours of weekly floor-planning effort by building a capacity planning tool mapping staffing against customer traffic.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Aug.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 xml:space="preserve">Merit </w:t>
      </w:r>
      <w:r w:rsidRPr="00C531DB">
        <w:rPr>
          <w:color w:val="000000" w:themeColor="text1"/>
          <w:sz w:val="20"/>
          <w:szCs w:val="20"/>
          <w:lang w:val="en-GB"/>
        </w:rPr>
        <w:t>(</w:t>
      </w:r>
      <w:r w:rsidR="0023612A" w:rsidRPr="00C531DB">
        <w:rPr>
          <w:color w:val="000000" w:themeColor="text1"/>
          <w:sz w:val="20"/>
          <w:szCs w:val="20"/>
          <w:lang w:val="en-GB"/>
        </w:rPr>
        <w:t>Top 10% of graduating class</w:t>
      </w:r>
      <w:r w:rsidRPr="00C531DB">
        <w:rPr>
          <w:color w:val="000000" w:themeColor="text1"/>
          <w:sz w:val="20"/>
          <w:szCs w:val="20"/>
          <w:lang w:val="en-GB"/>
        </w:rPr>
        <w:t>)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 (Top 5% of graduating class):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 xml:space="preserve">AI Governance &amp; Predictive Risk Engine. Reducing False Positives by 24% through an optimised machine learning model auditing algorithmic decision-making.  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5C1409A3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Bachelor of Communication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</w:t>
      </w:r>
      <w:r w:rsidR="00484BE4">
        <w:rPr>
          <w:i/>
          <w:iCs/>
          <w:sz w:val="20"/>
          <w:szCs w:val="20"/>
          <w:lang w:val="en-GB"/>
        </w:rPr>
        <w:t>7</w:t>
      </w:r>
      <w:r w:rsidRPr="00C531DB">
        <w:rPr>
          <w:i/>
          <w:iCs/>
          <w:sz w:val="20"/>
          <w:szCs w:val="20"/>
          <w:lang w:val="en-GB"/>
        </w:rPr>
        <w:t xml:space="preserve">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484BE4">
        <w:rPr>
          <w:i/>
          <w:iCs/>
          <w:sz w:val="20"/>
          <w:szCs w:val="20"/>
          <w:lang w:val="en-GB"/>
        </w:rPr>
        <w:t>1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Languages: Cantonese (native), Mandarin (native), English (fluent)</w:t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Skills: Product discovery &amp; GTM, presales &amp; RFP response, UAT &amp; launch management, MoSCoW prioritisation, SQL, Python, Grafana, LLM/RAG pipelines (OpenAI API, n8n), JIRA/Confluence, Figma</w:t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Cs/>
          <w:sz w:val="20"/>
          <w:szCs w:val="20"/>
          <w:lang w:val="en-GB"/>
        </w:rPr>
        <w:t>Interests: Building AI career tooling in public (github.com/chanyinkwan), travel technology, systems design</w:t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84BE4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3993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dc:description/>
  <cp:lastModifiedBy>Kessog Chan</cp:lastModifiedBy>
  <cp:revision>209</cp:revision>
  <dcterms:created xsi:type="dcterms:W3CDTF">2026-01-19T10:48:00Z</dcterms:created>
  <dcterms:modified xsi:type="dcterms:W3CDTF">2026-07-03T10:44:00Z</dcterms:modified>
  <dc:identifier/>
  <dc:language/>
</cp:coreProperties>
</file>