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53C929AC" w14:textId="27C8AEAE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Presales engineer on a Tier-1 UK mobile network operator account at Huawei, and a builder outside it. Runs the front half of a deal: discovery, turning what the customer needs into technical scope, then testing what the account can actually carry before anything is committed. </w:t>
      </w:r>
      <w:r w:rsidR="00842B6D">
        <w:rPr>
          <w:sz w:val="20"/>
          <w:szCs w:val="20"/>
        </w:rPr>
        <w:t>Hands-on experience building demos and tools</w:t>
      </w:r>
      <w:r>
        <w:rPr>
          <w:sz w:val="20"/>
          <w:szCs w:val="20"/>
        </w:rPr>
        <w:t xml:space="preserve">, including a batch resume pipeline on GPT-4o and the OpenAI API that lifted simulated ATS scores by 19.4 points, and a Mistral API diagnostic that gives enterprise clients a structured way to prioritise AI investment. MSc Business Analytics, University of Exeter. </w:t>
      </w:r>
      <w:r w:rsidR="00842B6D">
        <w:rPr>
          <w:sz w:val="20"/>
          <w:szCs w:val="20"/>
        </w:rPr>
        <w:t>No sponsorship needed</w:t>
      </w:r>
      <w:r>
        <w:rPr>
          <w:sz w:val="20"/>
          <w:szCs w:val="20"/>
        </w:rPr>
        <w:t>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Portfolio Solution Presales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Apr 2026 – Present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Cut an hour a week of sign-off assembly and removed a daily hand-check of 60 to 80 live evaluation units, by writing VBA automation and a scheduled task that generate the documents and fire the deadline reminders.</w:t>
      </w:r>
    </w:p>
    <w:p w14:paraId="67508266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Kept the proposal to what the network could actually carry by validating solution feasibility across 6 of the account's subnets, as the dedicated presales cover inside a 5-person pursuit team.</w:t>
      </w:r>
    </w:p>
    <w:p w14:paraId="16A777DF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Produced the documented solution scope the pursuit was built on, across 3 technical workshops and one structured analysis session with the operator's engineering stakeholders.</w:t>
      </w:r>
    </w:p>
    <w:p w14:paraId="31AE604F" w14:textId="4CEE340D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Technical Projects</w:t>
      </w:r>
      <w:r w:rsidR="0072247C">
        <w:rPr>
          <w:b/>
          <w:sz w:val="20"/>
          <w:szCs w:val="20"/>
        </w:rPr>
        <w:tab/>
      </w:r>
    </w:p>
    <w:p w14:paraId="09B17651" w14:textId="146CF021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MSc</w:t>
      </w:r>
      <w:r w:rsidR="00842B6D">
        <w:rPr>
          <w:i/>
          <w:sz w:val="20"/>
          <w:szCs w:val="20"/>
        </w:rPr>
        <w:t xml:space="preserve"> Projects and</w:t>
      </w:r>
      <w:r>
        <w:rPr>
          <w:i/>
          <w:sz w:val="20"/>
          <w:szCs w:val="20"/>
        </w:rPr>
        <w:t xml:space="preserve"> dissertation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2025 – Present</w:t>
      </w:r>
    </w:p>
    <w:p w14:paraId="275D0088" w14:textId="07D8EBAA" w:rsidR="00842B6D" w:rsidRPr="00842B6D" w:rsidRDefault="00842B6D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 w:rsidRPr="00842B6D">
        <w:rPr>
          <w:sz w:val="20"/>
          <w:szCs w:val="20"/>
          <w:lang w:val="en-GB"/>
        </w:rPr>
        <w:t>Cut high-risk false approvals by 24 cases per 100 and lifted correct approvals by 74 per 100, by debugging a credit scoring model at the data layer with SMOTE and oversampling, then making its decisions defensible to non-technical stakeholders through automated SHAP Trust Reports.</w:t>
      </w:r>
    </w:p>
    <w:p w14:paraId="7814BD11" w14:textId="0E95E41E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Lifted simulated ATS scores by an average of 19.4 absolute points across a 20+ CV batch, by building a resume optimisation pipeline on GPT-4o and the OpenAI API and tuning it with 4 prompt engineering techniques including persona adoption and XML tagging.</w:t>
      </w:r>
    </w:p>
    <w:p w14:paraId="5B9F6FEE" w14:textId="3C5C758B" w:rsidR="00842B6D" w:rsidRPr="00842B6D" w:rsidRDefault="00A3740B" w:rsidP="00842B6D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Gave enterprise clients a structured way to prioritise AI investment before a workshop starts, by building a diagnostic on the Mistral API that scores each use case on 4 dimensions behind an interactive web interface.</w:t>
      </w:r>
    </w:p>
    <w:p w14:paraId="77270D65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3039DFDE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2023 – Oct 2024</w:t>
      </w:r>
    </w:p>
    <w:p w14:paraId="374E0B0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Delivered 100 percent of the HKMA's regulatory mandates inside a hard 14-day window by turning the regulation into an implementation plan and coordinating internal teams with third-party vendors to ship Geo-IP fraud detection with impossible travel logic.</w:t>
      </w:r>
    </w:p>
    <w:p w14:paraId="480930E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Handed back 8 hours a week of manual reporting across 20 systems, roughly 400 hours a year, by deploying a centralised Grafana observability framework in place of hand-assembled weekly reports.</w:t>
      </w:r>
    </w:p>
    <w:p w14:paraId="23A509D2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3-year backlog in e-banking incident triage by specifying and validating a Python anomaly detection prototype, built with a developer, that separated real incidents from deployment noise across 50,000+ historical logs.</w:t>
      </w:r>
    </w:p>
    <w:p w14:paraId="0D768E37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183A8E0D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Mar 2021 – Aug 2023</w:t>
      </w:r>
    </w:p>
    <w:p w14:paraId="196859C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Reversed a headquarters decision by presenting evidence that store operations varied by location, moving the Shanghai development team off centralised training and onto store-specific delivery.</w:t>
      </w:r>
    </w:p>
    <w:p w14:paraId="5349AF1D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Secured adoption from all 6 flagship store leaders by demoing the tool myself, walking each of them through their own use cases and daily upkeep before handing over ownership.</w:t>
      </w:r>
    </w:p>
    <w:p w14:paraId="4CCFDABA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5D0700B0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2020 – Mar 2021</w:t>
      </w:r>
    </w:p>
    <w:p w14:paraId="70B24816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Generated GBP 350,000 in new B2B pipeline across a 50+ account portfolio by running discovery, solution positioning and qualification end to end, then escalating matured accounts to the corporate team to close.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 xml:space="preserve">Merit </w:t>
      </w:r>
      <w:r w:rsidRPr="00C531DB">
        <w:rPr>
          <w:color w:val="000000" w:themeColor="text1"/>
          <w:sz w:val="20"/>
          <w:szCs w:val="20"/>
          <w:lang w:val="en-GB"/>
        </w:rPr>
        <w:t>(</w:t>
      </w:r>
      <w:r w:rsidR="0023612A" w:rsidRPr="00C531DB">
        <w:rPr>
          <w:color w:val="000000" w:themeColor="text1"/>
          <w:sz w:val="20"/>
          <w:szCs w:val="20"/>
          <w:lang w:val="en-GB"/>
        </w:rPr>
        <w:t>Top 10% of graduating class</w:t>
      </w:r>
      <w:r w:rsidRPr="00C531DB">
        <w:rPr>
          <w:color w:val="000000" w:themeColor="text1"/>
          <w:sz w:val="20"/>
          <w:szCs w:val="20"/>
          <w:lang w:val="en-GB"/>
        </w:rPr>
        <w:t>)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 (Top 5% of graduating class):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 xml:space="preserve">AI Governance &amp; Predictive Risk Engine. Reducing False Positives by 24% through an optimised machine learning model auditing algorithmic decision-making.  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English (fluent, professional), Cantonese (native), Mandarin (native)</w:t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Skills: Rapid prototyping and live customer demos · presales discovery and technical validation · solution feasibility and architecture advisory · Python (pandas, data analysis), SQL, R, JavaScript, VBA · LLM APIs and prompt engineering (GPT-4o, OpenAI API, Mistral API) · agent and MCP workflow design · REST API integration and debugging · Docker · Google Cloud (hands-on exposure) · Grafana, Power BI, Plotly/Dash · JIRA, CRM</w:t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Cs/>
          <w:sz w:val="20"/>
          <w:szCs w:val="20"/>
          <w:lang w:val="en-GB"/>
        </w:rPr>
        <w:t>Interests: Building AI tooling and agent-based knowledge systems · enterprise AI adoption · systems design</w:t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20C9C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2B6D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2026-08-17T10:57:00Z</dcterms:modified>
  <dc:identifier/>
  <dc:language/>
</cp:coreProperties>
</file>