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90" w:lineRule="atLeast"/>
        <w:rPr>
          <w:rFonts w:ascii="Arial" w:hAnsi="Arial" w:cs="Arial"/>
        </w:rPr>
      </w:pPr>
      <w:r>
        <w:rPr>
          <w:rStyle w:val="6"/>
          <w:rFonts w:hint="eastAsia" w:ascii="Arial" w:hAnsi="Arial" w:cs="Arial"/>
          <w:b/>
          <w:sz w:val="27"/>
          <w:szCs w:val="27"/>
          <w:lang w:eastAsia="zh-CN"/>
        </w:rPr>
        <w:t>一、</w:t>
      </w:r>
      <w:bookmarkStart w:id="3" w:name="_GoBack"/>
      <w:bookmarkEnd w:id="3"/>
      <w:r>
        <w:rPr>
          <w:rStyle w:val="6"/>
          <w:rFonts w:hint="default" w:ascii="Arial" w:hAnsi="Arial" w:cs="Arial"/>
          <w:b/>
          <w:sz w:val="27"/>
          <w:szCs w:val="27"/>
        </w:rPr>
        <w:t>GSM网络结构（2G）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通常，我们所说的2G网络指的就是基于GSM的网络，它的结构主要由四部分构成：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移动台MS（Mobile Station），它的功能是负责无线信号的收发及处理；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基站子系统BSS（Base Station Subsystem），它属于接入网部分，由基站收发信台BTS（Base Transceiver Station）和基站控制器BSC（Base Station Controller）两部分构成。BTS通过Um空中接口收到MS发送的无线信号，然后将其传送给BSC，在BSC负责无线资源的管理及配置（诸如功率控制，信道分配等），然后通过A接口传送至核心网部分；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网络子系统NSS（Network and Switching Subsystem），它是核心网的核心部分，主要由MSC、VLR、HLR、AUC、EIR等功能实体组成。其中，移动业务交换中心MSC（Mobile service Switching Center）是NSS核心，负责处理用户具体业务；访问位置寄存器VLR（Visit Location Register）和归属位置寄存器HLR（Home Location Register）主要负责移动性管理及用户数据库管理的功能；鉴权中心AUC（Authentication Center）和设备识别寄存器EIR（Equipment Identity Register）主要负责安全性方面的功能；网关型GMSC负责提供接入外部网络接口；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操作管理系统OMS（Operations Management System），它主要负责网络的监视，状态报告及故障诊断等，在此不作具体介绍。</w:t>
      </w:r>
    </w:p>
    <w:p>
      <w:pPr>
        <w:pStyle w:val="3"/>
        <w:keepNext w:val="0"/>
        <w:keepLines w:val="0"/>
        <w:widowControl/>
        <w:suppressLineNumbers w:val="0"/>
        <w:bidi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GSM网络结构图如下：</w:t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6896100" cy="3295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spacing w:line="390" w:lineRule="atLeast"/>
        <w:rPr>
          <w:rFonts w:ascii="Arial" w:hAnsi="Arial" w:cs="Arial"/>
        </w:rPr>
      </w:pPr>
      <w:r>
        <w:rPr>
          <w:rStyle w:val="6"/>
          <w:rFonts w:hint="default" w:ascii="Arial" w:hAnsi="Arial" w:cs="Arial"/>
          <w:b/>
          <w:sz w:val="27"/>
          <w:szCs w:val="27"/>
        </w:rPr>
        <w:t>二、GPRS叠加网络结构（2.5G）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从GSM网络（2G）演进到GPRS网络（2.5G），最主要的变化是引入了分组交换业务。原有的GSM网络是基于电路交换技术，不具备支持分组交换业务的功能。因此，为了支持分组业务，在原有GSM网络结构上增加了几个功能实体，相当与在原有网络基础上叠加了一小型网络，共同构成GPRS网络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接入网方面，在BSC上增加了分组控制单元PCU（Packet Control Unit），用以提供分组交换通道；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核心网方面，增加了服务型GPRS支持节点SGSN（Service GPRS Supported Node）和网关型GPRS支持节点GGSN（Gateway GPRS Supported Node），功能方面与MSC和GMSC一致，只不过处理的是分组业务，外部网络接入IP网；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从GPRS叠加网络结构开始，引入了两个概念。一个是电路交换域，一个是分组交换域，也就是我们常说的Cs域与Ps域。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GPRS叠加网络结构图如下：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</w:t>
      </w:r>
      <w:r>
        <w:rPr>
          <w:rFonts w:hint="default" w:ascii="Arial" w:hAnsi="Arial" w:cs="Arial"/>
          <w:sz w:val="27"/>
          <w:szCs w:val="27"/>
          <w:bdr w:val="none" w:color="auto" w:sz="0" w:space="0"/>
        </w:rPr>
        <w:drawing>
          <wp:inline distT="0" distB="0" distL="114300" distR="114300">
            <wp:extent cx="6877050" cy="2771775"/>
            <wp:effectExtent l="0" t="0" r="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</w:rPr>
      </w:pPr>
      <w:bookmarkStart w:id="0" w:name="t3"/>
      <w:bookmarkEnd w:id="0"/>
      <w:r>
        <w:rPr>
          <w:rStyle w:val="6"/>
          <w:rFonts w:hint="default" w:ascii="Arial" w:hAnsi="Arial" w:cs="Arial"/>
          <w:b/>
          <w:sz w:val="27"/>
          <w:szCs w:val="27"/>
        </w:rPr>
        <w:t>三、UMTS网络结构（3G）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通信技术发展到3G，在速率发面有了质的提高，而网络结构上，同样发生巨大变化。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首先，伴随技术的发展，空中接口也随之改变。之前网络结构中的Um空中接口换成了Uu接口，而接入网与核心网接口也换成了Iu口；然后，在接入网方面，不再包含BTS和BSC，取而代之的是基站NodeB与无线网络控制器RNC（Radio Network Controller），功能方面与之前保持一致，在核心网方面基本与原有网络共用，无太大区别。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 UMTS网络结构图如下：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 </w:t>
      </w:r>
      <w:r>
        <w:rPr>
          <w:rFonts w:hint="default" w:ascii="Arial" w:hAnsi="Arial" w:cs="Arial"/>
          <w:sz w:val="27"/>
          <w:szCs w:val="27"/>
          <w:bdr w:val="none" w:color="auto" w:sz="0" w:space="0"/>
        </w:rPr>
        <w:drawing>
          <wp:inline distT="0" distB="0" distL="114300" distR="114300">
            <wp:extent cx="6877050" cy="2790825"/>
            <wp:effectExtent l="0" t="0" r="0" b="9525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</w:rPr>
      </w:pPr>
      <w:bookmarkStart w:id="1" w:name="t4"/>
      <w:bookmarkEnd w:id="1"/>
      <w:r>
        <w:rPr>
          <w:rStyle w:val="6"/>
          <w:rFonts w:hint="default" w:ascii="Arial" w:hAnsi="Arial" w:cs="Arial"/>
          <w:b/>
          <w:sz w:val="27"/>
          <w:szCs w:val="27"/>
        </w:rPr>
        <w:t>四、LTE网络结构（4G）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很多人说所谓的4G，即LTE技术不是一种演进，而是一场变革。其实，我们不需要太多的了解技术细节，但从网络结构方面，我们就能看出一二。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接口方面不容多说，或多或少的变化，具体的我也没有细节研究。整个LTE网络从接入网和核心网方面分为E-UTRAN和EPC。首先，接入网方面，它不再包含两种功能实体，整个网络只有一种基站eNodeB，它包含了整个NodeB和部分RNC的功能；其次，EPC（Evolved Packet Core）方面，它对之前的网络结构能够保持前向兼容，而自身结构方面，也不再有之前各种实体部分，取而代之的主要就换成了移动管理实体MME（Mobile Management Entity）与服务网关S-GW，分组数据网关，外部网络只接入IP网。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LTE网络结构如下图：</w:t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      </w:t>
      </w:r>
      <w:r>
        <w:rPr>
          <w:rFonts w:hint="default" w:ascii="Arial" w:hAnsi="Arial" w:cs="Arial"/>
          <w:sz w:val="27"/>
          <w:szCs w:val="27"/>
          <w:bdr w:val="none" w:color="auto" w:sz="0" w:space="0"/>
        </w:rPr>
        <w:drawing>
          <wp:inline distT="0" distB="0" distL="114300" distR="114300">
            <wp:extent cx="6877050" cy="2790825"/>
            <wp:effectExtent l="0" t="0" r="0" b="9525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390" w:lineRule="atLeas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7"/>
          <w:szCs w:val="27"/>
        </w:rPr>
        <w:t> </w:t>
      </w:r>
    </w:p>
    <w:p>
      <w:pPr>
        <w:rPr>
          <w:rFonts w:ascii="宋体" w:hAnsi="宋体" w:eastAsia="宋体" w:cs="宋体"/>
          <w:sz w:val="24"/>
          <w:szCs w:val="24"/>
          <w:bdr w:val="none" w:color="auto" w:sz="0" w:space="0"/>
        </w:rPr>
      </w:pPr>
      <w:bookmarkStart w:id="2" w:name="t5"/>
      <w:bookmarkEnd w:id="2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2348"/>
    <w:rsid w:val="0C1E5DFF"/>
    <w:rsid w:val="0EAD1B35"/>
    <w:rsid w:val="23703A8B"/>
    <w:rsid w:val="26AB64CE"/>
    <w:rsid w:val="29FB4959"/>
    <w:rsid w:val="32591652"/>
    <w:rsid w:val="35CB77CB"/>
    <w:rsid w:val="55452936"/>
    <w:rsid w:val="65504CD2"/>
    <w:rsid w:val="68A7430C"/>
    <w:rsid w:val="76F54D5F"/>
    <w:rsid w:val="7FFA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2019-05-16T07:23:21Z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