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BB615">
      <w:pPr>
        <w:jc w:val="center"/>
        <w:rPr>
          <w:rFonts w:hint="eastAsia" w:ascii="新宋体" w:hAnsi="新宋体" w:eastAsia="新宋体" w:cs="新宋体"/>
          <w:b/>
          <w:bCs/>
          <w:sz w:val="22"/>
          <w:szCs w:val="28"/>
          <w:lang w:val="en-US" w:eastAsia="zh-CN"/>
        </w:rPr>
      </w:pPr>
      <w:r>
        <w:rPr>
          <w:rFonts w:hint="eastAsia" w:ascii="新宋体" w:hAnsi="新宋体" w:eastAsia="新宋体" w:cs="新宋体"/>
          <w:b/>
          <w:bCs/>
          <w:sz w:val="22"/>
          <w:szCs w:val="28"/>
          <w:lang w:val="en-US" w:eastAsia="zh-CN"/>
        </w:rPr>
        <w:t>基于同质批次聚合的农产品“优质优价”实现机制研究——以水稻烘干环节为例</w:t>
      </w:r>
    </w:p>
    <w:p w14:paraId="7572F846">
      <w:pPr>
        <w:rPr>
          <w:rFonts w:hint="default" w:ascii="Times New Roman" w:hAnsi="Times New Roman" w:cs="Times New Roman"/>
          <w:lang w:val="en-US" w:eastAsia="zh-CN"/>
        </w:rPr>
      </w:pPr>
    </w:p>
    <w:p w14:paraId="60C187FE">
      <w:pPr>
        <w:rPr>
          <w:rFonts w:hint="default" w:ascii="Times New Roman" w:hAnsi="Times New Roman" w:cs="Times New Roman"/>
          <w:lang w:val="en-US" w:eastAsia="zh-CN"/>
        </w:rPr>
      </w:pPr>
      <w:r>
        <w:rPr>
          <w:rFonts w:hint="default" w:ascii="Times New Roman" w:hAnsi="Times New Roman" w:cs="Times New Roman"/>
          <w:lang w:val="en-US" w:eastAsia="zh-CN"/>
        </w:rPr>
        <w:t>Abstract</w:t>
      </w:r>
    </w:p>
    <w:p w14:paraId="015B15E4">
      <w:pPr>
        <w:ind w:firstLine="420" w:firstLineChars="0"/>
        <w:rPr>
          <w:rFonts w:hint="eastAsia" w:ascii="Times New Roman" w:hAnsi="Times New Roman" w:cs="Times New Roman"/>
          <w:lang w:val="en-US" w:eastAsia="zh-CN"/>
        </w:rPr>
      </w:pPr>
      <w:r>
        <w:rPr>
          <w:rFonts w:hint="default" w:ascii="Times New Roman" w:hAnsi="Times New Roman" w:cs="Times New Roman"/>
          <w:lang w:val="en-US" w:eastAsia="zh-CN"/>
        </w:rPr>
        <w:t>在我国水稻生产社会化服务中，由于农户种植品种分散且单品规模较小，而合作社大型烘干设备存在极高的起烘门槛</w:t>
      </w:r>
      <w:r>
        <w:rPr>
          <w:rFonts w:hint="eastAsia" w:ascii="Times New Roman" w:hAnsi="Times New Roman" w:cs="Times New Roman"/>
          <w:lang w:val="en-US" w:eastAsia="zh-CN"/>
        </w:rPr>
        <w:t>(如单次需达6万斤)，导致优质稻与普通稻常被混收混烘，难以实现“优质优价”。本文旨在探讨如何利用数字平台技术构建“虚拟批次聚合”机制，解决烘干环节的规模不经济问题。研究首先分析了信息不对称下农户种植意愿与合作社加工能力的错配机理。随后，本文提出一种基于“联盟链技术”与智能合约的拼单调度模型，通过动态定价策略引导农户进行同质品种的“虚拟拼单”。通过博弈模型分析发现，该机制能有效提升农户种植优质品种的正向激励，并显著增加合作社的经营收益。最后结合试点小程序的实证数据，验证了该模式在降低交易成本、实现农产品价值增值方面的有效性，为农业数字化转型提供了理论支撑与实践路径。</w:t>
      </w:r>
    </w:p>
    <w:p w14:paraId="06653400">
      <w:pPr>
        <w:rPr>
          <w:rFonts w:hint="default" w:ascii="Times New Roman" w:hAnsi="Times New Roman" w:cs="Times New Roman"/>
          <w:lang w:val="en-US" w:eastAsia="zh-CN"/>
        </w:rPr>
      </w:pPr>
    </w:p>
    <w:p w14:paraId="1940AB8A">
      <w:pPr>
        <w:bidi w:val="0"/>
        <w:rPr>
          <w:rFonts w:hint="default"/>
          <w:b/>
          <w:bCs/>
          <w:lang w:val="en-US" w:eastAsia="zh-CN"/>
        </w:rPr>
      </w:pPr>
      <w:r>
        <w:rPr>
          <w:rFonts w:hint="eastAsia"/>
          <w:b/>
          <w:bCs/>
          <w:lang w:val="en-US" w:eastAsia="zh-CN"/>
        </w:rPr>
        <w:t>第一章 绪论</w:t>
      </w:r>
    </w:p>
    <w:p w14:paraId="47E56304">
      <w:pPr>
        <w:numPr>
          <w:ilvl w:val="1"/>
          <w:numId w:val="1"/>
        </w:numPr>
        <w:rPr>
          <w:rFonts w:hint="eastAsia" w:ascii="Times New Roman" w:hAnsi="Times New Roman" w:cs="Times New Roman"/>
          <w:lang w:val="en-US" w:eastAsia="zh-CN"/>
        </w:rPr>
      </w:pPr>
      <w:r>
        <w:rPr>
          <w:rFonts w:hint="eastAsia" w:ascii="Times New Roman" w:hAnsi="Times New Roman" w:cs="Times New Roman"/>
          <w:lang w:val="en-US" w:eastAsia="zh-CN"/>
        </w:rPr>
        <w:t>研究背景</w:t>
      </w:r>
    </w:p>
    <w:p w14:paraId="019702E7">
      <w:pPr>
        <w:numPr>
          <w:ilvl w:val="0"/>
          <w:numId w:val="0"/>
        </w:numPr>
        <w:ind w:leftChars="0"/>
        <w:rPr>
          <w:rFonts w:hint="default" w:ascii="Times New Roman" w:hAnsi="Times New Roman" w:cs="Times New Roman"/>
          <w:lang w:val="en-US" w:eastAsia="zh-CN"/>
        </w:rPr>
      </w:pPr>
      <w:r>
        <w:rPr>
          <w:rFonts w:hint="eastAsia" w:ascii="Times New Roman" w:hAnsi="Times New Roman" w:cs="Times New Roman"/>
          <w:lang w:val="en-US" w:eastAsia="zh-CN"/>
        </w:rPr>
        <w:t>农业社会化服务中的规模效益与品质损耗矛盾。</w:t>
      </w:r>
    </w:p>
    <w:p w14:paraId="6CBF9606">
      <w:pPr>
        <w:numPr>
          <w:ilvl w:val="0"/>
          <w:numId w:val="0"/>
        </w:numPr>
        <w:ind w:leftChars="0"/>
        <w:rPr>
          <w:rFonts w:hint="eastAsia" w:ascii="Times New Roman" w:hAnsi="Times New Roman" w:cs="Times New Roman"/>
          <w:lang w:val="en-US" w:eastAsia="zh-CN"/>
        </w:rPr>
      </w:pPr>
    </w:p>
    <w:p w14:paraId="5A89C370">
      <w:pPr>
        <w:numPr>
          <w:ilvl w:val="0"/>
          <w:numId w:val="0"/>
        </w:numPr>
        <w:ind w:leftChars="0"/>
        <w:rPr>
          <w:rFonts w:hint="eastAsia" w:ascii="Times New Roman" w:hAnsi="Times New Roman" w:cs="Times New Roman"/>
          <w:lang w:val="en-US" w:eastAsia="zh-CN"/>
        </w:rPr>
      </w:pPr>
    </w:p>
    <w:p w14:paraId="5B52F670">
      <w:pPr>
        <w:numPr>
          <w:ilvl w:val="1"/>
          <w:numId w:val="1"/>
        </w:numPr>
        <w:rPr>
          <w:rFonts w:hint="default" w:ascii="Times New Roman" w:hAnsi="Times New Roman" w:cs="Times New Roman"/>
          <w:lang w:val="en-US" w:eastAsia="zh-CN"/>
        </w:rPr>
      </w:pPr>
      <w:r>
        <w:rPr>
          <w:rFonts w:hint="eastAsia" w:ascii="Times New Roman" w:hAnsi="Times New Roman" w:cs="Times New Roman"/>
          <w:lang w:val="en-US" w:eastAsia="zh-CN"/>
        </w:rPr>
        <w:t>研究意义</w:t>
      </w:r>
    </w:p>
    <w:p w14:paraId="184139CB">
      <w:pPr>
        <w:widowControl w:val="0"/>
        <w:numPr>
          <w:ilvl w:val="0"/>
          <w:numId w:val="0"/>
        </w:numPr>
        <w:jc w:val="both"/>
        <w:rPr>
          <w:rFonts w:hint="default" w:ascii="Times New Roman" w:hAnsi="Times New Roman" w:cs="Times New Roman"/>
          <w:lang w:val="en-US" w:eastAsia="zh-CN"/>
        </w:rPr>
      </w:pPr>
      <w:r>
        <w:rPr>
          <w:rFonts w:hint="eastAsia" w:ascii="Times New Roman" w:hAnsi="Times New Roman" w:cs="Times New Roman"/>
          <w:lang w:val="en-US" w:eastAsia="zh-CN"/>
        </w:rPr>
        <w:t>解决“优质不优价”难题对农民增收及产业升级的重要性。</w:t>
      </w:r>
    </w:p>
    <w:p w14:paraId="10DE51A3">
      <w:pPr>
        <w:widowControl w:val="0"/>
        <w:numPr>
          <w:ilvl w:val="0"/>
          <w:numId w:val="0"/>
        </w:numPr>
        <w:jc w:val="both"/>
        <w:rPr>
          <w:rFonts w:hint="eastAsia" w:ascii="Times New Roman" w:hAnsi="Times New Roman" w:cs="Times New Roman"/>
          <w:lang w:val="en-US" w:eastAsia="zh-CN"/>
        </w:rPr>
      </w:pPr>
    </w:p>
    <w:p w14:paraId="1163C55F">
      <w:pPr>
        <w:widowControl w:val="0"/>
        <w:numPr>
          <w:ilvl w:val="0"/>
          <w:numId w:val="0"/>
        </w:numPr>
        <w:jc w:val="both"/>
        <w:rPr>
          <w:rFonts w:hint="eastAsia" w:ascii="Times New Roman" w:hAnsi="Times New Roman" w:cs="Times New Roman"/>
          <w:lang w:val="en-US" w:eastAsia="zh-CN"/>
        </w:rPr>
      </w:pPr>
    </w:p>
    <w:p w14:paraId="666B5CB2">
      <w:pPr>
        <w:widowControl w:val="0"/>
        <w:numPr>
          <w:ilvl w:val="0"/>
          <w:numId w:val="0"/>
        </w:numPr>
        <w:jc w:val="both"/>
        <w:rPr>
          <w:rFonts w:hint="default" w:ascii="Times New Roman" w:hAnsi="Times New Roman" w:cs="Times New Roman"/>
          <w:lang w:val="en-US" w:eastAsia="zh-CN"/>
        </w:rPr>
      </w:pPr>
    </w:p>
    <w:p w14:paraId="45EFC81B">
      <w:pPr>
        <w:numPr>
          <w:ilvl w:val="1"/>
          <w:numId w:val="1"/>
        </w:numPr>
        <w:rPr>
          <w:rFonts w:hint="eastAsia" w:ascii="Times New Roman" w:hAnsi="Times New Roman" w:cs="Times New Roman"/>
          <w:lang w:val="en-US" w:eastAsia="zh-CN"/>
        </w:rPr>
      </w:pPr>
      <w:r>
        <w:rPr>
          <w:rFonts w:hint="eastAsia" w:ascii="Times New Roman" w:hAnsi="Times New Roman" w:cs="Times New Roman"/>
          <w:lang w:val="en-US" w:eastAsia="zh-CN"/>
        </w:rPr>
        <w:t>研究方法与技术路线</w:t>
      </w:r>
    </w:p>
    <w:p w14:paraId="45FA3F09">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定性分析与博弈论模拟结合。</w:t>
      </w:r>
    </w:p>
    <w:p w14:paraId="4733C14A">
      <w:pPr>
        <w:widowControl w:val="0"/>
        <w:numPr>
          <w:ilvl w:val="0"/>
          <w:numId w:val="0"/>
        </w:numPr>
        <w:jc w:val="both"/>
        <w:rPr>
          <w:rFonts w:hint="eastAsia" w:ascii="Times New Roman" w:hAnsi="Times New Roman" w:cs="Times New Roman"/>
          <w:lang w:val="en-US" w:eastAsia="zh-CN"/>
        </w:rPr>
      </w:pPr>
    </w:p>
    <w:p w14:paraId="79DD8F70">
      <w:pPr>
        <w:widowControl w:val="0"/>
        <w:numPr>
          <w:ilvl w:val="0"/>
          <w:numId w:val="0"/>
        </w:numPr>
        <w:jc w:val="both"/>
        <w:rPr>
          <w:rFonts w:hint="eastAsia" w:ascii="Times New Roman" w:hAnsi="Times New Roman" w:cs="Times New Roman"/>
          <w:lang w:val="en-US" w:eastAsia="zh-CN"/>
        </w:rPr>
      </w:pPr>
    </w:p>
    <w:p w14:paraId="4DAFF4EF">
      <w:pPr>
        <w:widowControl w:val="0"/>
        <w:numPr>
          <w:ilvl w:val="0"/>
          <w:numId w:val="0"/>
        </w:numPr>
        <w:jc w:val="both"/>
        <w:rPr>
          <w:rFonts w:hint="eastAsia" w:ascii="Times New Roman" w:hAnsi="Times New Roman" w:cs="Times New Roman"/>
          <w:lang w:val="en-US" w:eastAsia="zh-CN"/>
        </w:rPr>
      </w:pPr>
    </w:p>
    <w:p w14:paraId="08936049">
      <w:pPr>
        <w:widowControl w:val="0"/>
        <w:numPr>
          <w:ilvl w:val="0"/>
          <w:numId w:val="0"/>
        </w:numPr>
        <w:jc w:val="both"/>
        <w:rPr>
          <w:rFonts w:hint="eastAsia" w:ascii="Times New Roman" w:hAnsi="Times New Roman" w:cs="Times New Roman"/>
          <w:lang w:val="en-US" w:eastAsia="zh-CN"/>
        </w:rPr>
      </w:pPr>
    </w:p>
    <w:p w14:paraId="38DABAC9">
      <w:pPr>
        <w:widowControl w:val="0"/>
        <w:numPr>
          <w:ilvl w:val="0"/>
          <w:numId w:val="0"/>
        </w:numPr>
        <w:jc w:val="both"/>
        <w:rPr>
          <w:rFonts w:hint="eastAsia" w:ascii="Times New Roman" w:hAnsi="Times New Roman" w:cs="Times New Roman"/>
          <w:lang w:val="en-US" w:eastAsia="zh-CN"/>
        </w:rPr>
      </w:pPr>
    </w:p>
    <w:p w14:paraId="7725D0FA">
      <w:pPr>
        <w:bidi w:val="0"/>
        <w:rPr>
          <w:rFonts w:hint="default"/>
          <w:b/>
          <w:bCs/>
          <w:lang w:eastAsia="zh-CN"/>
        </w:rPr>
      </w:pPr>
      <w:r>
        <w:rPr>
          <w:rFonts w:hint="default"/>
          <w:b/>
          <w:bCs/>
          <w:lang w:eastAsia="zh-CN"/>
        </w:rPr>
        <w:t>第二章 现状分析与问题提出</w:t>
      </w:r>
    </w:p>
    <w:p w14:paraId="706BA230">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2.1 水稻产后加工环节的痛点：烘干设备最小作业量约束（6万斤门槛）</w:t>
      </w:r>
    </w:p>
    <w:p w14:paraId="325AA2D4">
      <w:pPr>
        <w:widowControl w:val="0"/>
        <w:numPr>
          <w:ilvl w:val="0"/>
          <w:numId w:val="0"/>
        </w:numPr>
        <w:jc w:val="both"/>
        <w:rPr>
          <w:rFonts w:hint="eastAsia" w:ascii="Times New Roman" w:hAnsi="Times New Roman" w:cs="Times New Roman"/>
          <w:lang w:val="en-US" w:eastAsia="zh-CN"/>
        </w:rPr>
      </w:pPr>
    </w:p>
    <w:p w14:paraId="2CFC0344">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2.2 农业侧痛点：品种多、规模小、议价能力弱</w:t>
      </w:r>
      <w:r>
        <w:rPr>
          <w:rFonts w:hint="eastAsia" w:ascii="Times New Roman" w:hAnsi="Times New Roman" w:cs="Times New Roman"/>
          <w:highlight w:val="yellow"/>
          <w:lang w:val="en-US" w:eastAsia="zh-CN"/>
        </w:rPr>
        <w:t>导致优质稻谷难以形成稳定供给，市场流通中混收混储现象普遍，品质溢价无法兑现。小农户因单产有限，往往被迫加入低质低价竞争序列，进一步抑制优质品种种植意愿。合作社虽具有组织优势，但缺乏对生产端的精准引导与需求端的稳定对接机制，难以突破“规模不经济”困局。</w:t>
      </w:r>
    </w:p>
    <w:p w14:paraId="4CB1EAC2">
      <w:pPr>
        <w:widowControl w:val="0"/>
        <w:numPr>
          <w:ilvl w:val="0"/>
          <w:numId w:val="0"/>
        </w:numPr>
        <w:jc w:val="both"/>
        <w:rPr>
          <w:rFonts w:hint="eastAsia" w:ascii="Times New Roman" w:hAnsi="Times New Roman" w:cs="Times New Roman"/>
          <w:lang w:val="en-US" w:eastAsia="zh-CN"/>
        </w:rPr>
      </w:pPr>
    </w:p>
    <w:p w14:paraId="6D6EE85D">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2.3 现有模式的局限：混收混烘导致优质品种的溢价消失。</w:t>
      </w:r>
    </w:p>
    <w:p w14:paraId="143E133F">
      <w:pPr>
        <w:widowControl w:val="0"/>
        <w:numPr>
          <w:ilvl w:val="0"/>
          <w:numId w:val="0"/>
        </w:numPr>
        <w:jc w:val="both"/>
        <w:rPr>
          <w:rFonts w:hint="eastAsia" w:ascii="Times New Roman" w:hAnsi="Times New Roman" w:cs="Times New Roman"/>
          <w:lang w:val="en-US" w:eastAsia="zh-CN"/>
        </w:rPr>
      </w:pPr>
    </w:p>
    <w:p w14:paraId="0E52BA50">
      <w:pPr>
        <w:widowControl w:val="0"/>
        <w:numPr>
          <w:ilvl w:val="0"/>
          <w:numId w:val="0"/>
        </w:numPr>
        <w:jc w:val="both"/>
        <w:rPr>
          <w:rFonts w:hint="eastAsia" w:ascii="Times New Roman" w:hAnsi="Times New Roman" w:cs="Times New Roman"/>
          <w:lang w:val="en-US" w:eastAsia="zh-CN"/>
        </w:rPr>
      </w:pPr>
    </w:p>
    <w:p w14:paraId="2FFD434F">
      <w:pPr>
        <w:numPr>
          <w:ilvl w:val="0"/>
          <w:numId w:val="2"/>
        </w:numPr>
        <w:bidi w:val="0"/>
        <w:rPr>
          <w:rFonts w:hint="eastAsia"/>
          <w:lang w:val="en-US" w:eastAsia="zh-CN"/>
        </w:rPr>
      </w:pPr>
      <w:r>
        <w:rPr>
          <w:rFonts w:hint="eastAsia"/>
          <w:lang w:val="en-US" w:eastAsia="zh-CN"/>
        </w:rPr>
        <w:t>基于同质批次聚合的机制设计</w:t>
      </w:r>
    </w:p>
    <w:p w14:paraId="031A652D">
      <w:pPr>
        <w:widowControl w:val="0"/>
        <w:numPr>
          <w:ilvl w:val="0"/>
          <w:numId w:val="0"/>
        </w:numPr>
        <w:jc w:val="both"/>
        <w:rPr>
          <w:rFonts w:hint="default" w:ascii="Times New Roman" w:hAnsi="Times New Roman" w:cs="Times New Roman"/>
          <w:lang w:val="en-US" w:eastAsia="zh-CN"/>
        </w:rPr>
      </w:pPr>
    </w:p>
    <w:p w14:paraId="104AEEA8">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3.1 </w:t>
      </w:r>
      <w:r>
        <w:rPr>
          <w:rFonts w:hint="default" w:ascii="Times New Roman" w:hAnsi="Times New Roman" w:cs="Times New Roman"/>
          <w:lang w:val="en-US" w:eastAsia="zh-CN"/>
        </w:rPr>
        <w:t>“</w:t>
      </w:r>
      <w:r>
        <w:rPr>
          <w:rFonts w:hint="eastAsia" w:ascii="Times New Roman" w:hAnsi="Times New Roman" w:cs="Times New Roman"/>
          <w:lang w:val="en-US" w:eastAsia="zh-CN"/>
        </w:rPr>
        <w:t>虚拟粮仓</w:t>
      </w:r>
      <w:r>
        <w:rPr>
          <w:rFonts w:hint="default" w:ascii="Times New Roman" w:hAnsi="Times New Roman" w:cs="Times New Roman"/>
          <w:lang w:val="en-US" w:eastAsia="zh-CN"/>
        </w:rPr>
        <w:t>”</w:t>
      </w:r>
      <w:r>
        <w:rPr>
          <w:rFonts w:hint="eastAsia" w:ascii="Times New Roman" w:hAnsi="Times New Roman" w:cs="Times New Roman"/>
          <w:lang w:val="en-US" w:eastAsia="zh-CN"/>
        </w:rPr>
        <w:t>与拼单机制概念界定。</w:t>
      </w:r>
    </w:p>
    <w:p w14:paraId="5AF47273">
      <w:pPr>
        <w:widowControl w:val="0"/>
        <w:numPr>
          <w:ilvl w:val="0"/>
          <w:numId w:val="0"/>
        </w:numPr>
        <w:jc w:val="both"/>
        <w:rPr>
          <w:rFonts w:hint="eastAsia" w:ascii="Times New Roman" w:hAnsi="Times New Roman" w:cs="Times New Roman"/>
          <w:lang w:val="en-US" w:eastAsia="zh-CN"/>
        </w:rPr>
      </w:pPr>
    </w:p>
    <w:p w14:paraId="31CAB33D">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3.2 关键技术支撑：</w:t>
      </w:r>
    </w:p>
    <w:p w14:paraId="3E949A4D">
      <w:pPr>
        <w:widowControl w:val="0"/>
        <w:numPr>
          <w:ilvl w:val="0"/>
          <w:numId w:val="0"/>
        </w:numPr>
        <w:jc w:val="both"/>
        <w:rPr>
          <w:rFonts w:hint="eastAsia" w:ascii="Times New Roman" w:hAnsi="Times New Roman" w:cs="Times New Roman"/>
          <w:lang w:val="en-US" w:eastAsia="zh-CN"/>
        </w:rPr>
      </w:pPr>
    </w:p>
    <w:p w14:paraId="31D88C0B">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基于地理位置与品种的自动匹配算法。</w:t>
      </w:r>
    </w:p>
    <w:p w14:paraId="750A13F4">
      <w:pPr>
        <w:widowControl w:val="0"/>
        <w:numPr>
          <w:ilvl w:val="0"/>
          <w:numId w:val="0"/>
        </w:numPr>
        <w:jc w:val="both"/>
        <w:rPr>
          <w:rFonts w:hint="eastAsia" w:ascii="Times New Roman" w:hAnsi="Times New Roman" w:cs="Times New Roman"/>
          <w:lang w:val="en-US" w:eastAsia="zh-CN"/>
        </w:rPr>
      </w:pPr>
    </w:p>
    <w:p w14:paraId="25DF1750">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基于区块链的品质追溯与信任锚定机制。</w:t>
      </w:r>
    </w:p>
    <w:p w14:paraId="61C278AF">
      <w:pPr>
        <w:widowControl w:val="0"/>
        <w:numPr>
          <w:ilvl w:val="0"/>
          <w:numId w:val="0"/>
        </w:numPr>
        <w:jc w:val="both"/>
        <w:rPr>
          <w:rFonts w:hint="eastAsia" w:ascii="Times New Roman" w:hAnsi="Times New Roman" w:cs="Times New Roman"/>
          <w:lang w:val="en-US" w:eastAsia="zh-CN"/>
        </w:rPr>
      </w:pPr>
    </w:p>
    <w:p w14:paraId="724E5D11">
      <w:pPr>
        <w:widowControl w:val="0"/>
        <w:numPr>
          <w:ilvl w:val="0"/>
          <w:numId w:val="0"/>
        </w:numPr>
        <w:jc w:val="both"/>
        <w:rPr>
          <w:rFonts w:hint="default" w:ascii="Times New Roman" w:hAnsi="Times New Roman" w:cs="Times New Roman"/>
          <w:lang w:val="en-US" w:eastAsia="zh-CN"/>
        </w:rPr>
      </w:pPr>
      <w:r>
        <w:rPr>
          <w:rFonts w:hint="eastAsia" w:ascii="Times New Roman" w:hAnsi="Times New Roman" w:cs="Times New Roman"/>
          <w:lang w:val="en-US" w:eastAsia="zh-CN"/>
        </w:rPr>
        <w:t>3.3 动态定价与竞价撮合策略：延迟等待vs溢价烘干的权衡。</w:t>
      </w:r>
    </w:p>
    <w:p w14:paraId="16E72F5C">
      <w:pPr>
        <w:widowControl w:val="0"/>
        <w:numPr>
          <w:ilvl w:val="0"/>
          <w:numId w:val="0"/>
        </w:numPr>
        <w:jc w:val="both"/>
        <w:rPr>
          <w:rFonts w:hint="default" w:ascii="Times New Roman" w:hAnsi="Times New Roman" w:cs="Times New Roman"/>
          <w:lang w:eastAsia="zh-CN"/>
        </w:rPr>
      </w:pPr>
    </w:p>
    <w:p w14:paraId="0901BEC2">
      <w:pPr>
        <w:widowControl w:val="0"/>
        <w:numPr>
          <w:ilvl w:val="0"/>
          <w:numId w:val="0"/>
        </w:numPr>
        <w:jc w:val="both"/>
        <w:rPr>
          <w:rFonts w:hint="eastAsia" w:ascii="Times New Roman" w:hAnsi="Times New Roman" w:cs="Times New Roman"/>
          <w:lang w:val="en-US" w:eastAsia="zh-CN"/>
        </w:rPr>
      </w:pPr>
    </w:p>
    <w:p w14:paraId="11CC67A2">
      <w:pPr>
        <w:widowControl w:val="0"/>
        <w:numPr>
          <w:ilvl w:val="0"/>
          <w:numId w:val="0"/>
        </w:numPr>
        <w:jc w:val="both"/>
        <w:rPr>
          <w:rFonts w:hint="eastAsia" w:ascii="Times New Roman" w:hAnsi="Times New Roman" w:cs="Times New Roman"/>
          <w:lang w:val="en-US" w:eastAsia="zh-CN"/>
        </w:rPr>
      </w:pPr>
    </w:p>
    <w:p w14:paraId="4032FC3C">
      <w:pPr>
        <w:widowControl w:val="0"/>
        <w:numPr>
          <w:ilvl w:val="0"/>
          <w:numId w:val="0"/>
        </w:numPr>
        <w:jc w:val="both"/>
        <w:rPr>
          <w:rFonts w:hint="eastAsia" w:ascii="Times New Roman" w:hAnsi="Times New Roman" w:cs="Times New Roman"/>
          <w:lang w:val="en-US" w:eastAsia="zh-CN"/>
        </w:rPr>
      </w:pPr>
    </w:p>
    <w:p w14:paraId="4BCF6415">
      <w:pPr>
        <w:widowControl w:val="0"/>
        <w:numPr>
          <w:ilvl w:val="0"/>
          <w:numId w:val="2"/>
        </w:numPr>
        <w:ind w:left="0" w:leftChars="0" w:firstLine="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农户与合作社的博弈模型分析</w:t>
      </w:r>
    </w:p>
    <w:p w14:paraId="2182D25E">
      <w:pPr>
        <w:widowControl w:val="0"/>
        <w:numPr>
          <w:ilvl w:val="0"/>
          <w:numId w:val="0"/>
        </w:numPr>
        <w:jc w:val="both"/>
        <w:rPr>
          <w:rFonts w:hint="default" w:ascii="Times New Roman" w:hAnsi="Times New Roman" w:cs="Times New Roman"/>
          <w:lang w:val="en-US" w:eastAsia="zh-CN"/>
        </w:rPr>
      </w:pPr>
    </w:p>
    <w:p w14:paraId="5E800430">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4.1 模型假设与变量定义。</w:t>
      </w:r>
    </w:p>
    <w:p w14:paraId="4367F1AC">
      <w:pPr>
        <w:widowControl w:val="0"/>
        <w:numPr>
          <w:ilvl w:val="0"/>
          <w:numId w:val="0"/>
        </w:numPr>
        <w:jc w:val="both"/>
        <w:rPr>
          <w:rFonts w:hint="eastAsia" w:ascii="Times New Roman" w:hAnsi="Times New Roman" w:cs="Times New Roman"/>
          <w:lang w:val="en-US" w:eastAsia="zh-CN"/>
        </w:rPr>
      </w:pPr>
    </w:p>
    <w:p w14:paraId="2E737720">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4.2 传统混收模式下的收益分析（基准模型）。</w:t>
      </w:r>
    </w:p>
    <w:p w14:paraId="2D9E3351">
      <w:pPr>
        <w:widowControl w:val="0"/>
        <w:numPr>
          <w:ilvl w:val="0"/>
          <w:numId w:val="0"/>
        </w:numPr>
        <w:jc w:val="both"/>
        <w:rPr>
          <w:rFonts w:hint="eastAsia" w:ascii="Times New Roman" w:hAnsi="Times New Roman" w:cs="Times New Roman"/>
          <w:lang w:val="en-US" w:eastAsia="zh-CN"/>
        </w:rPr>
      </w:pPr>
    </w:p>
    <w:p w14:paraId="447CDB29">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4.3 拼单机制下的农户种植选择博弈：优质稻种植的演化稳定策略。</w:t>
      </w:r>
    </w:p>
    <w:p w14:paraId="3241C252">
      <w:pPr>
        <w:widowControl w:val="0"/>
        <w:numPr>
          <w:ilvl w:val="0"/>
          <w:numId w:val="0"/>
        </w:numPr>
        <w:jc w:val="both"/>
        <w:rPr>
          <w:rFonts w:hint="eastAsia" w:ascii="Times New Roman" w:hAnsi="Times New Roman" w:cs="Times New Roman"/>
          <w:lang w:val="en-US" w:eastAsia="zh-CN"/>
        </w:rPr>
      </w:pPr>
    </w:p>
    <w:p w14:paraId="374607AF">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4.4 合作社收益函数优化：烘干设备周转率与溢价分成。</w:t>
      </w:r>
    </w:p>
    <w:p w14:paraId="4E8464F9">
      <w:pPr>
        <w:widowControl w:val="0"/>
        <w:numPr>
          <w:ilvl w:val="0"/>
          <w:numId w:val="0"/>
        </w:numPr>
        <w:jc w:val="both"/>
        <w:rPr>
          <w:rFonts w:hint="eastAsia" w:ascii="Times New Roman" w:hAnsi="Times New Roman" w:cs="Times New Roman"/>
          <w:lang w:val="en-US" w:eastAsia="zh-CN"/>
        </w:rPr>
      </w:pPr>
    </w:p>
    <w:p w14:paraId="2B59A023">
      <w:pPr>
        <w:widowControl w:val="0"/>
        <w:numPr>
          <w:ilvl w:val="0"/>
          <w:numId w:val="0"/>
        </w:numPr>
        <w:jc w:val="both"/>
        <w:rPr>
          <w:rFonts w:hint="eastAsia" w:ascii="Times New Roman" w:hAnsi="Times New Roman" w:cs="Times New Roman"/>
          <w:lang w:val="en-US" w:eastAsia="zh-CN"/>
        </w:rPr>
      </w:pPr>
    </w:p>
    <w:p w14:paraId="68097D51">
      <w:pPr>
        <w:widowControl w:val="0"/>
        <w:numPr>
          <w:ilvl w:val="0"/>
          <w:numId w:val="0"/>
        </w:numPr>
        <w:jc w:val="both"/>
        <w:rPr>
          <w:rFonts w:hint="default" w:ascii="Times New Roman" w:hAnsi="Times New Roman" w:cs="Times New Roman"/>
          <w:b/>
          <w:bCs/>
          <w:lang w:val="en-US" w:eastAsia="zh-CN"/>
        </w:rPr>
      </w:pPr>
      <w:r>
        <w:rPr>
          <w:rFonts w:hint="eastAsia" w:ascii="Times New Roman" w:hAnsi="Times New Roman" w:cs="Times New Roman"/>
          <w:b/>
          <w:bCs/>
          <w:lang w:val="en-US" w:eastAsia="zh-CN"/>
        </w:rPr>
        <w:t>第五章 实证分析</w:t>
      </w:r>
    </w:p>
    <w:p w14:paraId="6661E937">
      <w:pPr>
        <w:widowControl w:val="0"/>
        <w:numPr>
          <w:ilvl w:val="0"/>
          <w:numId w:val="0"/>
        </w:numPr>
        <w:jc w:val="both"/>
        <w:rPr>
          <w:rFonts w:hint="eastAsia" w:ascii="Times New Roman" w:hAnsi="Times New Roman" w:cs="Times New Roman"/>
          <w:lang w:val="en-US" w:eastAsia="zh-CN"/>
        </w:rPr>
      </w:pPr>
    </w:p>
    <w:p w14:paraId="5B97445C">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5.1 数据来源：基于试点小程序采集的农户意向与履约数据。</w:t>
      </w:r>
    </w:p>
    <w:p w14:paraId="4D8B7E86">
      <w:pPr>
        <w:widowControl w:val="0"/>
        <w:numPr>
          <w:ilvl w:val="0"/>
          <w:numId w:val="0"/>
        </w:numPr>
        <w:jc w:val="both"/>
        <w:rPr>
          <w:rFonts w:hint="eastAsia" w:ascii="Times New Roman" w:hAnsi="Times New Roman" w:cs="Times New Roman"/>
          <w:lang w:val="en-US" w:eastAsia="zh-CN"/>
        </w:rPr>
      </w:pPr>
    </w:p>
    <w:p w14:paraId="2BF8E329">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5.2 案例对比：传统模式与数字化拼单模式的收益对比分析。</w:t>
      </w:r>
    </w:p>
    <w:p w14:paraId="15E950B8">
      <w:pPr>
        <w:widowControl w:val="0"/>
        <w:numPr>
          <w:ilvl w:val="0"/>
          <w:numId w:val="0"/>
        </w:numPr>
        <w:jc w:val="both"/>
        <w:rPr>
          <w:rFonts w:hint="eastAsia" w:ascii="Times New Roman" w:hAnsi="Times New Roman" w:cs="Times New Roman"/>
          <w:lang w:val="en-US" w:eastAsia="zh-CN"/>
        </w:rPr>
      </w:pPr>
    </w:p>
    <w:p w14:paraId="16B4C3BD">
      <w:pPr>
        <w:widowControl w:val="0"/>
        <w:numPr>
          <w:ilvl w:val="0"/>
          <w:numId w:val="0"/>
        </w:numPr>
        <w:jc w:val="both"/>
        <w:rPr>
          <w:rFonts w:hint="default" w:ascii="Times New Roman" w:hAnsi="Times New Roman" w:cs="Times New Roman"/>
          <w:lang w:val="en-US" w:eastAsia="zh-CN"/>
        </w:rPr>
      </w:pPr>
      <w:r>
        <w:rPr>
          <w:rFonts w:hint="eastAsia" w:ascii="Times New Roman" w:hAnsi="Times New Roman" w:cs="Times New Roman"/>
          <w:lang w:val="en-US" w:eastAsia="zh-CN"/>
        </w:rPr>
        <w:t>5.3 机制的稳健性：不同地理破碎度与品种异质性下的表现。</w:t>
      </w:r>
    </w:p>
    <w:p w14:paraId="7C253DA4">
      <w:pPr>
        <w:widowControl w:val="0"/>
        <w:numPr>
          <w:ilvl w:val="0"/>
          <w:numId w:val="0"/>
        </w:numPr>
        <w:jc w:val="both"/>
        <w:rPr>
          <w:rFonts w:hint="default" w:ascii="Times New Roman" w:hAnsi="Times New Roman" w:cs="Times New Roman"/>
          <w:lang w:val="en-US" w:eastAsia="zh-CN"/>
        </w:rPr>
      </w:pPr>
    </w:p>
    <w:p w14:paraId="7172DDD3">
      <w:pPr>
        <w:widowControl w:val="0"/>
        <w:numPr>
          <w:ilvl w:val="0"/>
          <w:numId w:val="0"/>
        </w:numPr>
        <w:jc w:val="both"/>
        <w:rPr>
          <w:rFonts w:hint="eastAsia" w:ascii="Times New Roman" w:hAnsi="Times New Roman" w:cs="Times New Roman"/>
          <w:b/>
          <w:bCs/>
          <w:lang w:val="en-US" w:eastAsia="zh-CN"/>
        </w:rPr>
      </w:pPr>
      <w:r>
        <w:rPr>
          <w:rFonts w:hint="eastAsia" w:ascii="Times New Roman" w:hAnsi="Times New Roman" w:cs="Times New Roman"/>
          <w:b/>
          <w:bCs/>
          <w:lang w:val="en-US" w:eastAsia="zh-CN"/>
        </w:rPr>
        <w:t>研究设计与处理组界定</w:t>
      </w:r>
    </w:p>
    <w:p w14:paraId="254386AA">
      <w:pPr>
        <w:widowControl w:val="0"/>
        <w:numPr>
          <w:ilvl w:val="0"/>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本文利用合作社小程序分批上线的外生时间差异，构建多期双重差分（Difference-in-Differences, DID）模型，以识别小程序上线对合作社经营绩效/农机服务外包供需匹配/订单履约准确性的因果影响。</w:t>
      </w:r>
    </w:p>
    <w:p w14:paraId="3D54E295">
      <w:pPr>
        <w:widowControl w:val="0"/>
        <w:numPr>
          <w:ilvl w:val="0"/>
          <w:numId w:val="0"/>
        </w:numPr>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将在样本期内至少一次上线并持续使用小程序的合作社/乡镇记为处理组（Treatment），未在样本期内上线的合作社/乡镇记为对照组（Control）。记 (</w:t>
      </w:r>
      <m:oMath>
        <m:sSub>
          <m:sSubPr>
            <m:ctrlPr>
              <w:rPr>
                <w:rFonts w:ascii="Cambria Math" w:hAnsi="Cambria Math" w:cs="Times New Roman"/>
                <w:i/>
                <w:lang w:val="en-US"/>
              </w:rPr>
            </m:ctrlPr>
          </m:sSubPr>
          <m:e>
            <m:r>
              <m:rPr/>
              <w:rPr>
                <w:rFonts w:hint="default" w:ascii="Cambria Math" w:hAnsi="Cambria Math" w:cs="Times New Roman"/>
                <w:lang w:val="en-US" w:eastAsia="zh-CN"/>
              </w:rPr>
              <m:t>D</m:t>
            </m:r>
            <m:ctrlPr>
              <w:rPr>
                <w:rFonts w:ascii="Cambria Math" w:hAnsi="Cambria Math" w:cs="Times New Roman"/>
                <w:i/>
                <w:lang w:val="en-US"/>
              </w:rPr>
            </m:ctrlPr>
          </m:e>
          <m:sub>
            <m:r>
              <m:rPr/>
              <w:rPr>
                <w:rFonts w:hint="default" w:ascii="Cambria Math" w:hAnsi="Cambria Math" w:cs="Times New Roman"/>
                <w:lang w:val="en-US" w:eastAsia="zh-CN"/>
              </w:rPr>
              <m:t>i</m:t>
            </m:r>
            <m:ctrlPr>
              <w:rPr>
                <w:rFonts w:ascii="Cambria Math" w:hAnsi="Cambria Math" w:cs="Times New Roman"/>
                <w:i/>
                <w:lang w:val="en-US"/>
              </w:rPr>
            </m:ctrlPr>
          </m:sub>
        </m:sSub>
      </m:oMath>
      <w:r>
        <w:rPr>
          <w:rFonts w:hint="eastAsia" w:ascii="Times New Roman" w:hAnsi="Times New Roman" w:cs="Times New Roman"/>
          <w:lang w:val="en-US" w:eastAsia="zh-CN"/>
        </w:rPr>
        <w:t>) 为处理组虚拟变量，当合作社 (i) 所在年份首次上线小程序时 (</w:t>
      </w:r>
      <m:oMath>
        <m:sSub>
          <m:sSubPr>
            <m:ctrlPr>
              <w:rPr>
                <w:rFonts w:ascii="Cambria Math" w:hAnsi="Cambria Math" w:cs="Times New Roman"/>
                <w:i/>
                <w:lang w:val="en-US"/>
              </w:rPr>
            </m:ctrlPr>
          </m:sSubPr>
          <m:e>
            <m:r>
              <m:rPr/>
              <w:rPr>
                <w:rFonts w:hint="default" w:ascii="Cambria Math" w:hAnsi="Cambria Math" w:cs="Times New Roman"/>
                <w:lang w:val="en-US" w:eastAsia="zh-CN"/>
              </w:rPr>
              <m:t>D</m:t>
            </m:r>
            <m:ctrlPr>
              <w:rPr>
                <w:rFonts w:ascii="Cambria Math" w:hAnsi="Cambria Math" w:cs="Times New Roman"/>
                <w:i/>
                <w:lang w:val="en-US"/>
              </w:rPr>
            </m:ctrlPr>
          </m:e>
          <m:sub>
            <m:r>
              <m:rPr/>
              <w:rPr>
                <w:rFonts w:hint="default" w:ascii="Cambria Math" w:hAnsi="Cambria Math" w:cs="Times New Roman"/>
                <w:lang w:val="en-US" w:eastAsia="zh-CN"/>
              </w:rPr>
              <m:t>i</m:t>
            </m:r>
            <m:ctrlPr>
              <w:rPr>
                <w:rFonts w:ascii="Cambria Math" w:hAnsi="Cambria Math" w:cs="Times New Roman"/>
                <w:i/>
                <w:lang w:val="en-US"/>
              </w:rPr>
            </m:ctrlPr>
          </m:sub>
        </m:sSub>
      </m:oMath>
      <w:r>
        <w:rPr>
          <w:rFonts w:hint="eastAsia" w:ascii="Times New Roman" w:hAnsi="Times New Roman" w:cs="Times New Roman"/>
          <w:lang w:val="en-US" w:eastAsia="zh-CN"/>
        </w:rPr>
        <w:t>=1)，否则为 0。记 (</w:t>
      </w:r>
      <m:oMath>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Post</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it</m:t>
            </m:r>
            <m:ctrlPr>
              <w:rPr>
                <w:rFonts w:hint="default" w:ascii="Cambria Math" w:hAnsi="Cambria Math" w:cs="Times New Roman"/>
                <w:i/>
                <w:kern w:val="2"/>
                <w:sz w:val="21"/>
                <w:szCs w:val="24"/>
                <w:lang w:val="en-US" w:eastAsia="zh-CN" w:bidi="ar-SA"/>
              </w:rPr>
            </m:ctrlPr>
          </m:sub>
        </m:sSub>
      </m:oMath>
      <w:r>
        <w:rPr>
          <w:rFonts w:hint="eastAsia" w:ascii="Times New Roman" w:hAnsi="Times New Roman" w:cs="Times New Roman"/>
          <w:lang w:val="en-US" w:eastAsia="zh-CN"/>
        </w:rPr>
        <w:t>) 为时间虚拟变量，当年份 (t) 不早于合作社 (i) 小程序上线年份时 (</w:t>
      </w:r>
      <m:oMath>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Post</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it</m:t>
            </m:r>
            <m:ctrlPr>
              <w:rPr>
                <w:rFonts w:hint="default" w:ascii="Cambria Math" w:hAnsi="Cambria Math" w:cs="Times New Roman"/>
                <w:i/>
                <w:kern w:val="2"/>
                <w:sz w:val="21"/>
                <w:szCs w:val="24"/>
                <w:lang w:val="en-US" w:eastAsia="zh-CN" w:bidi="ar-SA"/>
              </w:rPr>
            </m:ctrlPr>
          </m:sub>
        </m:sSub>
      </m:oMath>
      <w:r>
        <w:rPr>
          <w:rFonts w:hint="eastAsia" w:ascii="Times New Roman" w:hAnsi="Times New Roman" w:cs="Times New Roman"/>
          <w:lang w:val="en-US" w:eastAsia="zh-CN"/>
        </w:rPr>
        <w:t>=1)，否则为 0。核心解释变量为 (</w:t>
      </w:r>
      <m:oMath>
        <m:sSub>
          <m:sSubPr>
            <m:ctrlPr>
              <w:rPr>
                <w:rFonts w:ascii="Cambria Math" w:hAnsi="Cambria Math" w:cs="Times New Roman"/>
                <w:i/>
                <w:lang w:val="en-US"/>
              </w:rPr>
            </m:ctrlPr>
          </m:sSubPr>
          <m:e>
            <m:r>
              <m:rPr/>
              <w:rPr>
                <w:rFonts w:hint="default" w:ascii="Cambria Math" w:hAnsi="Cambria Math" w:cs="Times New Roman"/>
                <w:lang w:val="en-US" w:eastAsia="zh-CN"/>
              </w:rPr>
              <m:t>D</m:t>
            </m:r>
            <m:ctrlPr>
              <w:rPr>
                <w:rFonts w:ascii="Cambria Math" w:hAnsi="Cambria Math" w:cs="Times New Roman"/>
                <w:i/>
                <w:lang w:val="en-US"/>
              </w:rPr>
            </m:ctrlPr>
          </m:e>
          <m:sub>
            <m:r>
              <m:rPr/>
              <w:rPr>
                <w:rFonts w:hint="default" w:ascii="Cambria Math" w:hAnsi="Cambria Math" w:cs="Times New Roman"/>
                <w:lang w:val="en-US" w:eastAsia="zh-CN"/>
              </w:rPr>
              <m:t>i</m:t>
            </m:r>
            <m:ctrlPr>
              <w:rPr>
                <w:rFonts w:ascii="Cambria Math" w:hAnsi="Cambria Math" w:cs="Times New Roman"/>
                <w:i/>
                <w:lang w:val="en-US"/>
              </w:rPr>
            </m:ctrlPr>
          </m:sub>
        </m:sSub>
        <m:r>
          <m:rPr/>
          <w:rPr>
            <w:rFonts w:hint="default" w:ascii="Cambria Math" w:hAnsi="Cambria Math" w:cs="Times New Roman"/>
            <w:lang w:val="en-US" w:eastAsia="zh-CN"/>
          </w:rPr>
          <m:t xml:space="preserve"> </m:t>
        </m:r>
        <m:r>
          <m:rPr/>
          <w:rPr>
            <w:rFonts w:ascii="Cambria Math" w:hAnsi="Cambria Math" w:cs="Times New Roman"/>
            <w:lang w:val="en-US"/>
          </w:rPr>
          <m:t>×</m:t>
        </m:r>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Post</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it</m:t>
            </m:r>
            <m:ctrlPr>
              <w:rPr>
                <w:rFonts w:hint="default" w:ascii="Cambria Math" w:hAnsi="Cambria Math" w:cs="Times New Roman"/>
                <w:i/>
                <w:kern w:val="2"/>
                <w:sz w:val="21"/>
                <w:szCs w:val="24"/>
                <w:lang w:val="en-US" w:eastAsia="zh-CN" w:bidi="ar-SA"/>
              </w:rPr>
            </m:ctrlPr>
          </m:sub>
        </m:sSub>
      </m:oMath>
      <w:r>
        <w:rPr>
          <w:rFonts w:hint="eastAsia" w:ascii="Times New Roman" w:hAnsi="Times New Roman" w:cs="Times New Roman"/>
          <w:lang w:val="en-US" w:eastAsia="zh-CN"/>
        </w:rPr>
        <w:t>)，其系数刻画小程序上线对结果变量的平均处理效应。</w:t>
      </w:r>
    </w:p>
    <w:p w14:paraId="125250F5">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为控制时间不变的个体异质性及共同时间冲击，模型中同时加入合作社固定效应和年份固定效应。控制变量 (</w:t>
      </w:r>
      <m:oMath>
        <m:sSub>
          <m:sSubPr>
            <m:ctrlPr>
              <w:rPr>
                <w:rFonts w:hint="eastAsia" w:ascii="Cambria Math" w:hAnsi="Times New Roman" w:cs="Times New Roman"/>
                <w:i/>
                <w:lang w:val="en-US" w:eastAsia="zh-CN"/>
              </w:rPr>
            </m:ctrlPr>
          </m:sSubPr>
          <m:e>
            <m:r>
              <m:rPr/>
              <w:rPr>
                <w:rFonts w:ascii="Cambria Math" w:hAnsi="Cambria Math" w:cs="Times New Roman"/>
                <w:lang w:val="en-US"/>
              </w:rPr>
              <m:t>Χ</m:t>
            </m:r>
            <m:ctrlPr>
              <w:rPr>
                <w:rFonts w:hint="eastAsia" w:ascii="Cambria Math" w:hAnsi="Times New Roman" w:cs="Times New Roman"/>
                <w:i/>
                <w:lang w:val="en-US" w:eastAsia="zh-CN"/>
              </w:rPr>
            </m:ctrlPr>
          </m:e>
          <m:sub>
            <m:r>
              <m:rPr/>
              <w:rPr>
                <w:rFonts w:hint="default" w:ascii="Cambria Math" w:hAnsi="Times New Roman" w:cs="Times New Roman"/>
                <w:lang w:val="en-US" w:eastAsia="zh-CN"/>
              </w:rPr>
              <m:t>it</m:t>
            </m:r>
            <m:ctrlPr>
              <w:rPr>
                <w:rFonts w:hint="eastAsia" w:ascii="Cambria Math" w:hAnsi="Times New Roman" w:cs="Times New Roman"/>
                <w:i/>
                <w:lang w:val="en-US" w:eastAsia="zh-CN"/>
              </w:rPr>
            </m:ctrlPr>
          </m:sub>
        </m:sSub>
      </m:oMath>
      <w:r>
        <w:rPr>
          <w:rFonts w:hint="eastAsia" w:ascii="Times New Roman" w:hAnsi="Times New Roman" w:cs="Times New Roman"/>
          <w:lang w:val="en-US" w:eastAsia="zh-CN"/>
        </w:rPr>
        <w:t>) 包括合作社规模、成员人数、资产负债率、所在地区数字基础设施水平等。基准 DID 方程设定如下：</w:t>
      </w:r>
    </w:p>
    <w:p w14:paraId="272537A6">
      <w:pPr>
        <w:widowControl w:val="0"/>
        <w:numPr>
          <w:ilvl w:val="0"/>
          <w:numId w:val="0"/>
        </w:numPr>
        <w:jc w:val="both"/>
        <w:rPr>
          <w:rFonts w:hint="default" w:ascii="Times New Roman" w:hAnsi="Times New Roman" w:cs="Times New Roman"/>
          <w:lang w:val="en-US" w:eastAsia="zh-CN"/>
        </w:rPr>
      </w:pPr>
      <m:oMathPara>
        <m:oMath>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Y</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it</m:t>
              </m:r>
              <m:ctrlPr>
                <w:rPr>
                  <w:rFonts w:hint="default" w:ascii="Cambria Math" w:hAnsi="Cambria Math" w:cs="Times New Roman"/>
                  <w:i/>
                  <w:kern w:val="2"/>
                  <w:sz w:val="21"/>
                  <w:szCs w:val="24"/>
                  <w:lang w:val="en-US" w:eastAsia="zh-CN" w:bidi="ar-SA"/>
                </w:rPr>
              </m:ctrlPr>
            </m:sub>
          </m:sSub>
          <m:r>
            <m:rPr/>
            <w:rPr>
              <w:rFonts w:hint="default" w:ascii="Cambria Math" w:hAnsi="Cambria Math" w:cs="Times New Roman"/>
              <w:kern w:val="2"/>
              <w:sz w:val="21"/>
              <w:szCs w:val="24"/>
              <w:lang w:val="en-US" w:eastAsia="zh-CN" w:bidi="ar-SA"/>
            </w:rPr>
            <m:t>=</m:t>
          </m:r>
          <m:r>
            <m:rPr/>
            <w:rPr>
              <w:rFonts w:hint="default" w:ascii="Cambria Math" w:hAnsi="Cambria Math" w:cs="Cambria Math"/>
              <w:kern w:val="2"/>
              <w:sz w:val="21"/>
              <w:szCs w:val="24"/>
              <w:lang w:val="en-US" w:eastAsia="zh-CN" w:bidi="ar-SA"/>
            </w:rPr>
            <m:t>α</m:t>
          </m:r>
          <m:r>
            <m:rPr/>
            <w:rPr>
              <w:rFonts w:hint="default" w:ascii="Cambria Math" w:hAnsi="Cambria Math" w:cs="Times New Roman"/>
              <w:kern w:val="2"/>
              <w:sz w:val="21"/>
              <w:szCs w:val="24"/>
              <w:lang w:val="en-US" w:eastAsia="zh-CN" w:bidi="ar-SA"/>
            </w:rPr>
            <m:t>+</m:t>
          </m:r>
          <m:r>
            <m:rPr/>
            <w:rPr>
              <w:rFonts w:hint="default" w:ascii="Cambria Math" w:hAnsi="Cambria Math" w:cs="Cambria Math"/>
              <w:kern w:val="2"/>
              <w:sz w:val="21"/>
              <w:szCs w:val="24"/>
              <w:lang w:val="en-US" w:eastAsia="zh-CN" w:bidi="ar-SA"/>
            </w:rPr>
            <m:t>β(</m:t>
          </m:r>
          <m:sSub>
            <m:sSubPr>
              <m:ctrlPr>
                <w:rPr>
                  <w:rFonts w:ascii="Cambria Math" w:hAnsi="Cambria Math" w:cs="Times New Roman"/>
                  <w:i/>
                  <w:lang w:val="en-US"/>
                </w:rPr>
              </m:ctrlPr>
            </m:sSubPr>
            <m:e>
              <m:r>
                <m:rPr/>
                <w:rPr>
                  <w:rFonts w:hint="default" w:ascii="Cambria Math" w:hAnsi="Cambria Math" w:cs="Times New Roman"/>
                  <w:lang w:val="en-US" w:eastAsia="zh-CN"/>
                </w:rPr>
                <m:t>D</m:t>
              </m:r>
              <m:ctrlPr>
                <w:rPr>
                  <w:rFonts w:ascii="Cambria Math" w:hAnsi="Cambria Math" w:cs="Times New Roman"/>
                  <w:i/>
                  <w:lang w:val="en-US"/>
                </w:rPr>
              </m:ctrlPr>
            </m:e>
            <m:sub>
              <m:r>
                <m:rPr/>
                <w:rPr>
                  <w:rFonts w:hint="default" w:ascii="Cambria Math" w:hAnsi="Cambria Math" w:cs="Times New Roman"/>
                  <w:lang w:val="en-US" w:eastAsia="zh-CN"/>
                </w:rPr>
                <m:t>i</m:t>
              </m:r>
              <m:ctrlPr>
                <w:rPr>
                  <w:rFonts w:ascii="Cambria Math" w:hAnsi="Cambria Math" w:cs="Times New Roman"/>
                  <w:i/>
                  <w:lang w:val="en-US"/>
                </w:rPr>
              </m:ctrlPr>
            </m:sub>
          </m:sSub>
          <m:r>
            <m:rPr/>
            <w:rPr>
              <w:rFonts w:hint="default" w:ascii="Cambria Math" w:hAnsi="Cambria Math" w:cs="Times New Roman"/>
              <w:lang w:val="en-US" w:eastAsia="zh-CN"/>
            </w:rPr>
            <m:t xml:space="preserve"> </m:t>
          </m:r>
          <m:r>
            <m:rPr/>
            <w:rPr>
              <w:rFonts w:ascii="Cambria Math" w:hAnsi="Cambria Math" w:cs="Times New Roman"/>
              <w:lang w:val="en-US"/>
            </w:rPr>
            <m:t>×</m:t>
          </m:r>
          <m:sSub>
            <m:sSubPr>
              <m:ctrlPr>
                <w:rPr>
                  <w:rFonts w:hint="default" w:ascii="Cambria Math" w:hAnsi="Cambria Math" w:cs="Times New Roman"/>
                  <w:i/>
                  <w:kern w:val="2"/>
                  <w:sz w:val="21"/>
                  <w:szCs w:val="24"/>
                  <w:lang w:val="en-US" w:eastAsia="zh-CN" w:bidi="ar-SA"/>
                </w:rPr>
              </m:ctrlPr>
            </m:sSubPr>
            <m:e>
              <m:r>
                <m:rPr/>
                <w:rPr>
                  <w:rFonts w:hint="default" w:ascii="Cambria Math" w:hAnsi="Cambria Math" w:cs="Times New Roman"/>
                  <w:kern w:val="2"/>
                  <w:sz w:val="21"/>
                  <w:szCs w:val="24"/>
                  <w:lang w:val="en-US" w:eastAsia="zh-CN" w:bidi="ar-SA"/>
                </w:rPr>
                <m:t>Post</m:t>
              </m:r>
              <m:ctrlPr>
                <w:rPr>
                  <w:rFonts w:hint="default" w:ascii="Cambria Math" w:hAnsi="Cambria Math" w:cs="Times New Roman"/>
                  <w:i/>
                  <w:kern w:val="2"/>
                  <w:sz w:val="21"/>
                  <w:szCs w:val="24"/>
                  <w:lang w:val="en-US" w:eastAsia="zh-CN" w:bidi="ar-SA"/>
                </w:rPr>
              </m:ctrlPr>
            </m:e>
            <m:sub>
              <m:r>
                <m:rPr/>
                <w:rPr>
                  <w:rFonts w:hint="default" w:ascii="Cambria Math" w:hAnsi="Cambria Math" w:cs="Times New Roman"/>
                  <w:kern w:val="2"/>
                  <w:sz w:val="21"/>
                  <w:szCs w:val="24"/>
                  <w:lang w:val="en-US" w:eastAsia="zh-CN" w:bidi="ar-SA"/>
                </w:rPr>
                <m:t>it</m:t>
              </m:r>
              <m:ctrlPr>
                <w:rPr>
                  <w:rFonts w:hint="default" w:ascii="Cambria Math" w:hAnsi="Cambria Math" w:cs="Times New Roman"/>
                  <w:i/>
                  <w:kern w:val="2"/>
                  <w:sz w:val="21"/>
                  <w:szCs w:val="24"/>
                  <w:lang w:val="en-US" w:eastAsia="zh-CN" w:bidi="ar-SA"/>
                </w:rPr>
              </m:ctrlPr>
            </m:sub>
          </m:sSub>
          <m:r>
            <m:rPr/>
            <w:rPr>
              <w:rFonts w:hint="default" w:ascii="Cambria Math" w:hAnsi="Cambria Math" w:cs="Times New Roman"/>
              <w:kern w:val="2"/>
              <w:sz w:val="21"/>
              <w:szCs w:val="24"/>
              <w:lang w:val="en-US" w:eastAsia="zh-CN" w:bidi="ar-SA"/>
            </w:rPr>
            <m:t>)+</m:t>
          </m:r>
          <m:r>
            <m:rPr/>
            <w:rPr>
              <w:rFonts w:hint="default" w:ascii="Cambria Math" w:hAnsi="Cambria Math" w:cs="Cambria Math"/>
              <w:kern w:val="2"/>
              <w:sz w:val="21"/>
              <w:szCs w:val="24"/>
              <w:lang w:val="en-US" w:eastAsia="zh-CN" w:bidi="ar-SA"/>
            </w:rPr>
            <m:t>γ</m:t>
          </m:r>
          <m:sSub>
            <m:sSubPr>
              <m:ctrlPr>
                <w:rPr>
                  <w:rFonts w:hint="eastAsia" w:ascii="Cambria Math" w:hAnsi="Times New Roman" w:cs="Times New Roman"/>
                  <w:i/>
                  <w:lang w:val="en-US" w:eastAsia="zh-CN"/>
                </w:rPr>
              </m:ctrlPr>
            </m:sSubPr>
            <m:e>
              <m:r>
                <m:rPr/>
                <w:rPr>
                  <w:rFonts w:ascii="Cambria Math" w:hAnsi="Cambria Math" w:cs="Times New Roman"/>
                  <w:lang w:val="en-US"/>
                </w:rPr>
                <m:t>Χ</m:t>
              </m:r>
              <m:ctrlPr>
                <w:rPr>
                  <w:rFonts w:hint="eastAsia" w:ascii="Cambria Math" w:hAnsi="Times New Roman" w:cs="Times New Roman"/>
                  <w:i/>
                  <w:lang w:val="en-US" w:eastAsia="zh-CN"/>
                </w:rPr>
              </m:ctrlPr>
            </m:e>
            <m:sub>
              <m:r>
                <m:rPr/>
                <w:rPr>
                  <w:rFonts w:hint="default" w:ascii="Cambria Math" w:hAnsi="Times New Roman" w:cs="Times New Roman"/>
                  <w:lang w:val="en-US" w:eastAsia="zh-CN"/>
                </w:rPr>
                <m:t>it</m:t>
              </m:r>
              <m:ctrlPr>
                <w:rPr>
                  <w:rFonts w:hint="eastAsia" w:ascii="Cambria Math" w:hAnsi="Times New Roman" w:cs="Times New Roman"/>
                  <w:i/>
                  <w:lang w:val="en-US" w:eastAsia="zh-CN"/>
                </w:rPr>
              </m:ctrlPr>
            </m:sub>
          </m:sSub>
          <m:r>
            <m:rPr/>
            <w:rPr>
              <w:rFonts w:hint="default" w:ascii="Cambria Math" w:hAnsi="Times New Roman" w:cs="Times New Roman"/>
              <w:lang w:val="en-US" w:eastAsia="zh-CN"/>
            </w:rPr>
            <m:t>+</m:t>
          </m:r>
          <m:sSub>
            <m:sSubPr>
              <m:ctrlPr>
                <w:rPr>
                  <w:rFonts w:hint="default" w:ascii="Cambria Math" w:hAnsi="Times New Roman" w:cs="Times New Roman"/>
                  <w:i/>
                  <w:lang w:val="en-US" w:eastAsia="zh-CN"/>
                </w:rPr>
              </m:ctrlPr>
            </m:sSubPr>
            <m:e>
              <m:sSub>
                <m:sSubPr>
                  <m:ctrlPr>
                    <w:rPr>
                      <w:rFonts w:hint="default" w:ascii="Cambria Math" w:hAnsi="Times New Roman" w:cs="Times New Roman"/>
                      <w:i/>
                      <w:lang w:val="en-US" w:eastAsia="zh-CN"/>
                    </w:rPr>
                  </m:ctrlPr>
                </m:sSubPr>
                <m:e>
                  <m:r>
                    <m:rPr/>
                    <w:rPr>
                      <w:rFonts w:ascii="Cambria Math" w:hAnsi="Cambria Math" w:cs="Times New Roman"/>
                      <w:lang w:val="en-US"/>
                    </w:rPr>
                    <m:t>μ</m:t>
                  </m:r>
                  <m:ctrlPr>
                    <w:rPr>
                      <w:rFonts w:hint="default" w:ascii="Cambria Math" w:hAnsi="Times New Roman" w:cs="Times New Roman"/>
                      <w:i/>
                      <w:lang w:val="en-US" w:eastAsia="zh-CN"/>
                    </w:rPr>
                  </m:ctrlPr>
                </m:e>
                <m:sub>
                  <m:r>
                    <m:rPr/>
                    <w:rPr>
                      <w:rFonts w:hint="default" w:ascii="Cambria Math" w:hAnsi="Times New Roman" w:cs="Times New Roman"/>
                      <w:lang w:val="en-US" w:eastAsia="zh-CN"/>
                    </w:rPr>
                    <m:t>i</m:t>
                  </m:r>
                  <m:ctrlPr>
                    <w:rPr>
                      <w:rFonts w:hint="default" w:ascii="Cambria Math" w:hAnsi="Times New Roman" w:cs="Times New Roman"/>
                      <w:i/>
                      <w:lang w:val="en-US" w:eastAsia="zh-CN"/>
                    </w:rPr>
                  </m:ctrlPr>
                </m:sub>
              </m:sSub>
              <m:r>
                <m:rPr/>
                <w:rPr>
                  <w:rFonts w:hint="default" w:ascii="Cambria Math" w:hAnsi="Times New Roman" w:cs="Times New Roman"/>
                  <w:lang w:val="en-US" w:eastAsia="zh-CN"/>
                </w:rPr>
                <m:t>+</m:t>
              </m:r>
              <m:r>
                <m:rPr/>
                <w:rPr>
                  <w:rFonts w:hint="default" w:ascii="Cambria Math" w:hAnsi="Cambria Math" w:cs="Cambria Math"/>
                  <w:lang w:val="en-US" w:eastAsia="zh-CN"/>
                </w:rPr>
                <m:t>λ</m:t>
              </m:r>
              <m:ctrlPr>
                <w:rPr>
                  <w:rFonts w:hint="default" w:ascii="Cambria Math" w:hAnsi="Times New Roman" w:cs="Times New Roman"/>
                  <w:i/>
                  <w:lang w:val="en-US" w:eastAsia="zh-CN"/>
                </w:rPr>
              </m:ctrlPr>
            </m:e>
            <m:sub>
              <m:r>
                <m:rPr/>
                <w:rPr>
                  <w:rFonts w:hint="default" w:ascii="Cambria Math" w:hAnsi="Times New Roman" w:cs="Times New Roman"/>
                  <w:lang w:val="en-US" w:eastAsia="zh-CN"/>
                </w:rPr>
                <m:t>t</m:t>
              </m:r>
              <m:ctrlPr>
                <w:rPr>
                  <w:rFonts w:hint="default" w:ascii="Cambria Math" w:hAnsi="Times New Roman" w:cs="Times New Roman"/>
                  <w:i/>
                  <w:lang w:val="en-US" w:eastAsia="zh-CN"/>
                </w:rPr>
              </m:ctrlPr>
            </m:sub>
          </m:sSub>
          <m:r>
            <m:rPr/>
            <w:rPr>
              <w:rFonts w:hint="default" w:ascii="Cambria Math" w:hAnsi="Times New Roman" w:cs="Times New Roman"/>
              <w:lang w:val="en-US" w:eastAsia="zh-CN"/>
            </w:rPr>
            <m:t>+</m:t>
          </m:r>
          <m:sSub>
            <m:sSubPr>
              <m:ctrlPr>
                <w:rPr>
                  <w:rFonts w:hint="default" w:ascii="Cambria Math" w:hAnsi="Times New Roman" w:cs="Times New Roman"/>
                  <w:i/>
                  <w:lang w:val="en-US" w:eastAsia="zh-CN"/>
                </w:rPr>
              </m:ctrlPr>
            </m:sSubPr>
            <m:e>
              <m:r>
                <m:rPr/>
                <w:rPr>
                  <w:rFonts w:hint="default" w:ascii="Cambria Math" w:hAnsi="Cambria Math" w:cs="Cambria Math"/>
                  <w:lang w:val="en-US" w:eastAsia="zh-CN"/>
                </w:rPr>
                <m:t>ε</m:t>
              </m:r>
              <m:ctrlPr>
                <w:rPr>
                  <w:rFonts w:hint="default" w:ascii="Cambria Math" w:hAnsi="Times New Roman" w:cs="Times New Roman"/>
                  <w:i/>
                  <w:lang w:val="en-US" w:eastAsia="zh-CN"/>
                </w:rPr>
              </m:ctrlPr>
            </m:e>
            <m:sub>
              <m:r>
                <m:rPr/>
                <w:rPr>
                  <w:rFonts w:hint="default" w:ascii="Cambria Math" w:hAnsi="Times New Roman" w:cs="Times New Roman"/>
                  <w:lang w:val="en-US" w:eastAsia="zh-CN"/>
                </w:rPr>
                <m:t>it</m:t>
              </m:r>
              <m:ctrlPr>
                <w:rPr>
                  <w:rFonts w:hint="default" w:ascii="Cambria Math" w:hAnsi="Times New Roman" w:cs="Times New Roman"/>
                  <w:i/>
                  <w:lang w:val="en-US" w:eastAsia="zh-CN"/>
                </w:rPr>
              </m:ctrlPr>
            </m:sub>
          </m:sSub>
        </m:oMath>
      </m:oMathPara>
    </w:p>
    <w:p w14:paraId="38B15F09">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其中，(</w:t>
      </w:r>
      <m:oMath>
        <m:sSub>
          <m:sSubPr>
            <m:ctrlPr>
              <w:rPr>
                <w:rFonts w:ascii="Cambria Math" w:hAnsi="Cambria Math" w:cs="Times New Roman"/>
                <w:i/>
                <w:lang w:val="en-US"/>
              </w:rPr>
            </m:ctrlPr>
          </m:sSubPr>
          <m:e>
            <m:r>
              <m:rPr/>
              <w:rPr>
                <w:rFonts w:hint="default" w:ascii="Cambria Math" w:hAnsi="Cambria Math" w:cs="Times New Roman"/>
                <w:lang w:val="en-US" w:eastAsia="zh-CN"/>
              </w:rPr>
              <m:t>Y</m:t>
            </m:r>
            <m:ctrlPr>
              <w:rPr>
                <w:rFonts w:ascii="Cambria Math" w:hAnsi="Cambria Math" w:cs="Times New Roman"/>
                <w:i/>
                <w:lang w:val="en-US"/>
              </w:rPr>
            </m:ctrlPr>
          </m:e>
          <m:sub>
            <m:r>
              <m:rPr/>
              <w:rPr>
                <w:rFonts w:hint="default" w:ascii="Cambria Math" w:hAnsi="Cambria Math" w:cs="Times New Roman"/>
                <w:lang w:val="en-US" w:eastAsia="zh-CN"/>
              </w:rPr>
              <m:t>it</m:t>
            </m:r>
            <m:ctrlPr>
              <w:rPr>
                <w:rFonts w:ascii="Cambria Math" w:hAnsi="Cambria Math" w:cs="Times New Roman"/>
                <w:i/>
                <w:lang w:val="en-US"/>
              </w:rPr>
            </m:ctrlPr>
          </m:sub>
        </m:sSub>
      </m:oMath>
      <w:r>
        <w:rPr>
          <w:rFonts w:hint="eastAsia" w:ascii="Times New Roman" w:hAnsi="Times New Roman" w:cs="Times New Roman"/>
          <w:lang w:val="en-US" w:eastAsia="zh-CN"/>
        </w:rPr>
        <w:t>) 表示合作社 (i) 在年份 (t) 的绩效指标（如订单履约率、农机服务利用率、投入品供需匹配度等），(</w:t>
      </w:r>
      <m:oMath>
        <m:sSub>
          <m:sSubPr>
            <m:ctrlPr>
              <w:rPr>
                <w:rFonts w:hint="default" w:ascii="Cambria Math" w:hAnsi="Times New Roman" w:cs="Times New Roman"/>
                <w:i/>
                <w:lang w:val="en-US" w:eastAsia="zh-CN"/>
              </w:rPr>
            </m:ctrlPr>
          </m:sSubPr>
          <m:e>
            <m:r>
              <m:rPr/>
              <w:rPr>
                <w:rFonts w:ascii="Cambria Math" w:hAnsi="Cambria Math" w:cs="Times New Roman"/>
                <w:lang w:val="en-US"/>
              </w:rPr>
              <m:t>μ</m:t>
            </m:r>
            <m:ctrlPr>
              <w:rPr>
                <w:rFonts w:hint="default" w:ascii="Cambria Math" w:hAnsi="Times New Roman" w:cs="Times New Roman"/>
                <w:i/>
                <w:lang w:val="en-US" w:eastAsia="zh-CN"/>
              </w:rPr>
            </m:ctrlPr>
          </m:e>
          <m:sub>
            <m:r>
              <m:rPr/>
              <w:rPr>
                <w:rFonts w:hint="default" w:ascii="Cambria Math" w:hAnsi="Times New Roman" w:cs="Times New Roman"/>
                <w:lang w:val="en-US" w:eastAsia="zh-CN"/>
              </w:rPr>
              <m:t>i</m:t>
            </m:r>
            <m:ctrlPr>
              <w:rPr>
                <w:rFonts w:hint="default" w:ascii="Cambria Math" w:hAnsi="Times New Roman" w:cs="Times New Roman"/>
                <w:i/>
                <w:lang w:val="en-US" w:eastAsia="zh-CN"/>
              </w:rPr>
            </m:ctrlPr>
          </m:sub>
        </m:sSub>
      </m:oMath>
      <w:r>
        <w:rPr>
          <w:rFonts w:hint="eastAsia" w:ascii="Times New Roman" w:hAnsi="Times New Roman" w:cs="Times New Roman"/>
          <w:lang w:val="en-US" w:eastAsia="zh-CN"/>
        </w:rPr>
        <w:t>) 为个体固定效应，(</w:t>
      </w:r>
      <m:oMath>
        <m:sSub>
          <m:sSubPr>
            <m:ctrlPr>
              <w:rPr>
                <w:rFonts w:ascii="Cambria Math" w:hAnsi="Cambria Math" w:cs="Times New Roman"/>
                <w:i/>
                <w:lang w:val="en-US"/>
              </w:rPr>
            </m:ctrlPr>
          </m:sSubPr>
          <m:e>
            <m:r>
              <m:rPr/>
              <w:rPr>
                <w:rFonts w:ascii="Cambria Math" w:hAnsi="Cambria Math" w:cs="Times New Roman"/>
                <w:lang w:val="en-US"/>
              </w:rPr>
              <m:t>λ</m:t>
            </m:r>
            <m:ctrlPr>
              <w:rPr>
                <w:rFonts w:ascii="Cambria Math" w:hAnsi="Cambria Math" w:cs="Times New Roman"/>
                <w:i/>
                <w:lang w:val="en-US"/>
              </w:rPr>
            </m:ctrlPr>
          </m:e>
          <m:sub>
            <m:r>
              <m:rPr/>
              <w:rPr>
                <w:rFonts w:hint="default" w:ascii="Cambria Math" w:hAnsi="Cambria Math" w:cs="Times New Roman"/>
                <w:lang w:val="en-US" w:eastAsia="zh-CN"/>
              </w:rPr>
              <m:t>t</m:t>
            </m:r>
            <m:ctrlPr>
              <w:rPr>
                <w:rFonts w:ascii="Cambria Math" w:hAnsi="Cambria Math" w:cs="Times New Roman"/>
                <w:i/>
                <w:lang w:val="en-US"/>
              </w:rPr>
            </m:ctrlPr>
          </m:sub>
        </m:sSub>
      </m:oMath>
      <w:r>
        <w:rPr>
          <w:rFonts w:hint="eastAsia" w:ascii="Times New Roman" w:hAnsi="Times New Roman" w:cs="Times New Roman"/>
          <w:lang w:val="en-US" w:eastAsia="zh-CN"/>
        </w:rPr>
        <w:t>)为年份固定效应，(</w:t>
      </w:r>
      <m:oMath>
        <m:sSub>
          <m:sSubPr>
            <m:ctrlPr>
              <w:rPr>
                <w:rFonts w:hint="default" w:ascii="Cambria Math" w:hAnsi="Times New Roman" w:cs="Times New Roman"/>
                <w:i/>
                <w:lang w:val="en-US" w:eastAsia="zh-CN"/>
              </w:rPr>
            </m:ctrlPr>
          </m:sSubPr>
          <m:e>
            <m:r>
              <m:rPr/>
              <w:rPr>
                <w:rFonts w:hint="default" w:ascii="Cambria Math" w:hAnsi="Cambria Math" w:cs="Cambria Math"/>
                <w:lang w:val="en-US" w:eastAsia="zh-CN"/>
              </w:rPr>
              <m:t>ε</m:t>
            </m:r>
            <m:ctrlPr>
              <w:rPr>
                <w:rFonts w:hint="default" w:ascii="Cambria Math" w:hAnsi="Times New Roman" w:cs="Times New Roman"/>
                <w:i/>
                <w:lang w:val="en-US" w:eastAsia="zh-CN"/>
              </w:rPr>
            </m:ctrlPr>
          </m:e>
          <m:sub>
            <m:r>
              <m:rPr/>
              <w:rPr>
                <w:rFonts w:hint="default" w:ascii="Cambria Math" w:hAnsi="Times New Roman" w:cs="Times New Roman"/>
                <w:lang w:val="en-US" w:eastAsia="zh-CN"/>
              </w:rPr>
              <m:t>it</m:t>
            </m:r>
            <m:ctrlPr>
              <w:rPr>
                <w:rFonts w:hint="default" w:ascii="Cambria Math" w:hAnsi="Times New Roman" w:cs="Times New Roman"/>
                <w:i/>
                <w:lang w:val="en-US" w:eastAsia="zh-CN"/>
              </w:rPr>
            </m:ctrlPr>
          </m:sub>
        </m:sSub>
      </m:oMath>
      <w:r>
        <w:rPr>
          <w:rFonts w:hint="eastAsia" w:ascii="Times New Roman" w:hAnsi="Times New Roman" w:cs="Times New Roman"/>
          <w:lang w:val="en-US" w:eastAsia="zh-CN"/>
        </w:rPr>
        <w:t>) 为误差项。核心系数 (</w:t>
      </w:r>
      <m:oMath>
        <m:r>
          <m:rPr/>
          <w:rPr>
            <w:rFonts w:hint="default" w:ascii="Cambria Math" w:hAnsi="Cambria Math" w:cs="Cambria Math"/>
            <w:kern w:val="2"/>
            <w:sz w:val="21"/>
            <w:szCs w:val="24"/>
            <w:lang w:val="en-US" w:eastAsia="zh-CN" w:bidi="ar-SA"/>
          </w:rPr>
          <m:t>β</m:t>
        </m:r>
      </m:oMath>
      <w:r>
        <w:rPr>
          <w:rFonts w:hint="eastAsia" w:ascii="Times New Roman" w:hAnsi="Times New Roman" w:cs="Times New Roman"/>
          <w:lang w:val="en-US" w:eastAsia="zh-CN"/>
        </w:rPr>
        <w:t>) 即小程序上线的平均处理效应。</w:t>
      </w:r>
    </w:p>
    <w:p w14:paraId="75EA9A66">
      <w:pPr>
        <w:widowControl w:val="0"/>
        <w:numPr>
          <w:ilvl w:val="0"/>
          <w:numId w:val="0"/>
        </w:numPr>
        <w:jc w:val="both"/>
        <w:rPr>
          <w:rFonts w:hint="eastAsia" w:ascii="Times New Roman" w:hAnsi="Times New Roman" w:cs="Times New Roman"/>
          <w:lang w:val="en-US" w:eastAsia="zh-CN"/>
        </w:rPr>
      </w:pPr>
    </w:p>
    <w:p w14:paraId="5CA455F1">
      <w:pPr>
        <w:widowControl w:val="0"/>
        <w:numPr>
          <w:ilvl w:val="0"/>
          <w:numId w:val="0"/>
        </w:numPr>
        <w:jc w:val="both"/>
        <w:rPr>
          <w:rFonts w:hint="eastAsia" w:ascii="Times New Roman" w:hAnsi="Times New Roman" w:cs="Times New Roman"/>
          <w:b/>
          <w:bCs/>
          <w:highlight w:val="yellow"/>
          <w:lang w:val="en-US" w:eastAsia="zh-CN"/>
        </w:rPr>
      </w:pPr>
      <w:r>
        <w:rPr>
          <w:rFonts w:hint="eastAsia" w:ascii="Times New Roman" w:hAnsi="Times New Roman" w:cs="Times New Roman"/>
          <w:b/>
          <w:bCs/>
          <w:highlight w:val="yellow"/>
          <w:lang w:val="en-US" w:eastAsia="zh-CN"/>
        </w:rPr>
        <w:t>并行趋势与动态效应检验</w:t>
      </w:r>
    </w:p>
    <w:p w14:paraId="6518CF8A">
      <w:pPr>
        <w:widowControl w:val="0"/>
        <w:numPr>
          <w:ilvl w:val="0"/>
          <w:numId w:val="0"/>
        </w:numPr>
        <w:jc w:val="both"/>
        <w:rPr>
          <w:rFonts w:hint="eastAsia" w:ascii="Times New Roman" w:hAnsi="Times New Roman" w:cs="Times New Roman"/>
          <w:highlight w:val="yellow"/>
          <w:lang w:val="en-US" w:eastAsia="zh-CN"/>
        </w:rPr>
      </w:pPr>
      <w:r>
        <w:rPr>
          <w:rFonts w:hint="eastAsia" w:ascii="Times New Roman" w:hAnsi="Times New Roman" w:cs="Times New Roman"/>
          <w:highlight w:val="yellow"/>
          <w:lang w:val="en-US" w:eastAsia="zh-CN"/>
        </w:rPr>
        <w:t>本文采用事件研究法，将不同提前期和滞后期的 (D_i\times Lead/Lag_k) 加入模型：</w:t>
      </w:r>
    </w:p>
    <w:p w14:paraId="45062A12">
      <w:pPr>
        <w:widowControl w:val="0"/>
        <w:numPr>
          <w:ilvl w:val="0"/>
          <w:numId w:val="0"/>
        </w:numPr>
        <w:jc w:val="both"/>
        <w:rPr>
          <w:highlight w:val="yellow"/>
        </w:rPr>
      </w:pPr>
    </w:p>
    <w:p w14:paraId="59FD2253">
      <w:pPr>
        <w:widowControl w:val="0"/>
        <w:numPr>
          <w:ilvl w:val="0"/>
          <w:numId w:val="0"/>
        </w:numPr>
        <w:jc w:val="both"/>
        <w:rPr>
          <w:rFonts w:hint="eastAsia"/>
          <w:highlight w:val="yellow"/>
        </w:rPr>
      </w:pPr>
      <w:r>
        <w:rPr>
          <w:rFonts w:hint="eastAsia"/>
          <w:highlight w:val="yellow"/>
        </w:rPr>
        <w:t>检查(k&lt;0)各项系数是否显著，为并行趋势提供证据；(k&gt;0)反映动态效果。</w:t>
      </w:r>
    </w:p>
    <w:p w14:paraId="64485E49">
      <w:pPr>
        <w:widowControl w:val="0"/>
        <w:numPr>
          <w:ilvl w:val="0"/>
          <w:numId w:val="0"/>
        </w:numPr>
        <w:jc w:val="both"/>
        <w:rPr>
          <w:rFonts w:hint="eastAsia"/>
        </w:rPr>
      </w:pPr>
    </w:p>
    <w:p w14:paraId="2CCB08FB">
      <w:pPr>
        <w:widowControl w:val="0"/>
        <w:numPr>
          <w:ilvl w:val="0"/>
          <w:numId w:val="0"/>
        </w:numPr>
        <w:jc w:val="both"/>
        <w:rPr>
          <w:rFonts w:hint="eastAsia"/>
          <w:b/>
          <w:bCs/>
        </w:rPr>
      </w:pPr>
      <w:r>
        <w:rPr>
          <w:rFonts w:hint="eastAsia"/>
          <w:b/>
          <w:bCs/>
        </w:rPr>
        <w:t>稳健性与识别威胁说明</w:t>
      </w:r>
    </w:p>
    <w:p w14:paraId="28B93148">
      <w:pPr>
        <w:widowControl w:val="0"/>
        <w:numPr>
          <w:ilvl w:val="0"/>
          <w:numId w:val="0"/>
        </w:numPr>
        <w:jc w:val="both"/>
        <w:rPr>
          <w:rFonts w:hint="eastAsia"/>
        </w:rPr>
      </w:pPr>
      <w:r>
        <w:rPr>
          <w:rFonts w:hint="eastAsia"/>
        </w:rPr>
        <w:t>（1）针对选择偏差问题，采用倾向得分匹配</w:t>
      </w:r>
      <w:r>
        <w:rPr>
          <w:rFonts w:hint="eastAsia"/>
          <w:lang w:val="en-US" w:eastAsia="zh-CN"/>
        </w:rPr>
        <w:t>-</w:t>
      </w:r>
      <w:r>
        <w:rPr>
          <w:rFonts w:hint="eastAsia"/>
        </w:rPr>
        <w:t>双重差分（PSM</w:t>
      </w:r>
      <w:r>
        <w:rPr>
          <w:rFonts w:hint="eastAsia"/>
          <w:lang w:val="en-US" w:eastAsia="zh-CN"/>
        </w:rPr>
        <w:t>-</w:t>
      </w:r>
      <w:r>
        <w:rPr>
          <w:rFonts w:hint="eastAsia"/>
        </w:rPr>
        <w:t>DID）：以是否上线为因变量，用协变量估计倾向得分，通过最近邻/核/半径匹配获得平衡样本，再做DID回归，比对核心系数一致性。</w:t>
      </w:r>
      <w:bookmarkStart w:id="0" w:name="_GoBack"/>
      <w:bookmarkEnd w:id="0"/>
    </w:p>
    <w:p w14:paraId="222A9241">
      <w:pPr>
        <w:widowControl w:val="0"/>
        <w:numPr>
          <w:ilvl w:val="0"/>
          <w:numId w:val="0"/>
        </w:numPr>
        <w:jc w:val="both"/>
        <w:rPr>
          <w:rFonts w:hint="eastAsia"/>
        </w:rPr>
      </w:pPr>
      <w:r>
        <w:rPr>
          <w:rFonts w:hint="eastAsia"/>
        </w:rPr>
        <w:t>（2）针对溢出效应，通过剔除地理邻近度高的对照样本或仅保留不同县区间比较进行稳健性检验。</w:t>
      </w:r>
    </w:p>
    <w:p w14:paraId="31D4C84A">
      <w:pPr>
        <w:widowControl w:val="0"/>
        <w:numPr>
          <w:ilvl w:val="0"/>
          <w:numId w:val="0"/>
        </w:numPr>
        <w:jc w:val="both"/>
        <w:rPr>
          <w:rFonts w:hint="eastAsia"/>
        </w:rPr>
      </w:pPr>
      <w:r>
        <w:rPr>
          <w:rFonts w:hint="eastAsia"/>
        </w:rPr>
        <w:t>（3）针对同时政策干扰，通过调整样本窗口、控制其他数字化相关政策变量，以及伪处理检验加强因果解释力。</w:t>
      </w:r>
    </w:p>
    <w:p w14:paraId="16846E51">
      <w:pPr>
        <w:widowControl w:val="0"/>
        <w:numPr>
          <w:ilvl w:val="0"/>
          <w:numId w:val="0"/>
        </w:numPr>
        <w:jc w:val="both"/>
        <w:rPr>
          <w:rFonts w:hint="eastAsia"/>
        </w:rPr>
      </w:pPr>
      <w:r>
        <w:rPr>
          <w:rFonts w:hint="eastAsia"/>
        </w:rPr>
        <w:t>（4）替代时间窗与伪处理检验：改变起始年份或随机指定伪处理组，多次重复回归检查核心结论稳定性。</w:t>
      </w:r>
    </w:p>
    <w:p w14:paraId="200207ED">
      <w:pPr>
        <w:widowControl w:val="0"/>
        <w:numPr>
          <w:ilvl w:val="0"/>
          <w:numId w:val="0"/>
        </w:numPr>
        <w:jc w:val="both"/>
        <w:rPr>
          <w:rFonts w:hint="eastAsia"/>
          <w:lang w:val="en-US" w:eastAsia="zh-CN"/>
        </w:rPr>
      </w:pPr>
    </w:p>
    <w:p w14:paraId="11DD95F0">
      <w:pPr>
        <w:widowControl w:val="0"/>
        <w:numPr>
          <w:ilvl w:val="0"/>
          <w:numId w:val="0"/>
        </w:numPr>
        <w:jc w:val="both"/>
        <w:rPr>
          <w:rFonts w:hint="eastAsia" w:ascii="Times New Roman" w:hAnsi="Times New Roman" w:cs="Times New Roman"/>
          <w:lang w:val="en-US" w:eastAsia="zh-CN"/>
        </w:rPr>
      </w:pPr>
    </w:p>
    <w:p w14:paraId="0BF0C8C6">
      <w:pPr>
        <w:widowControl w:val="0"/>
        <w:numPr>
          <w:ilvl w:val="0"/>
          <w:numId w:val="0"/>
        </w:numPr>
        <w:jc w:val="both"/>
        <w:rPr>
          <w:rFonts w:hint="eastAsia" w:ascii="Times New Roman" w:hAnsi="Times New Roman" w:cs="Times New Roman"/>
          <w:lang w:val="en-US" w:eastAsia="zh-CN"/>
        </w:rPr>
      </w:pPr>
    </w:p>
    <w:p w14:paraId="512E6E5C">
      <w:pPr>
        <w:widowControl w:val="0"/>
        <w:numPr>
          <w:ilvl w:val="0"/>
          <w:numId w:val="0"/>
        </w:numPr>
        <w:ind w:leftChars="0"/>
        <w:jc w:val="both"/>
        <w:rPr>
          <w:rFonts w:hint="eastAsia" w:ascii="Times New Roman" w:hAnsi="Times New Roman" w:cs="Times New Roman"/>
          <w:b/>
          <w:bCs/>
          <w:lang w:val="en-US" w:eastAsia="zh-CN"/>
        </w:rPr>
      </w:pPr>
      <w:r>
        <w:rPr>
          <w:rFonts w:hint="eastAsia" w:ascii="Times New Roman" w:hAnsi="Times New Roman" w:cs="Times New Roman"/>
          <w:b/>
          <w:bCs/>
          <w:lang w:val="en-US" w:eastAsia="zh-CN"/>
        </w:rPr>
        <w:t>第六章 结论与对策建议</w:t>
      </w:r>
    </w:p>
    <w:p w14:paraId="76E733EE">
      <w:pPr>
        <w:widowControl w:val="0"/>
        <w:numPr>
          <w:ilvl w:val="0"/>
          <w:numId w:val="0"/>
        </w:numPr>
        <w:jc w:val="both"/>
        <w:rPr>
          <w:rFonts w:hint="default" w:ascii="Times New Roman" w:hAnsi="Times New Roman" w:cs="Times New Roman"/>
          <w:lang w:val="en-US" w:eastAsia="zh-CN"/>
        </w:rPr>
      </w:pPr>
    </w:p>
    <w:p w14:paraId="311B4A6D">
      <w:pPr>
        <w:widowControl w:val="0"/>
        <w:numPr>
          <w:ilvl w:val="0"/>
          <w:numId w:val="0"/>
        </w:numPr>
        <w:jc w:val="both"/>
        <w:rPr>
          <w:rFonts w:hint="eastAsia" w:ascii="Times New Roman" w:hAnsi="Times New Roman" w:cs="Times New Roman"/>
          <w:lang w:val="en-US" w:eastAsia="zh-CN"/>
        </w:rPr>
      </w:pPr>
      <w:r>
        <w:rPr>
          <w:rFonts w:hint="eastAsia" w:ascii="Times New Roman" w:hAnsi="Times New Roman" w:cs="Times New Roman"/>
          <w:lang w:val="en-US" w:eastAsia="zh-CN"/>
        </w:rPr>
        <w:t>6.1 研究结论：数字化平台如何通过机制设计客服规模不经济。</w:t>
      </w:r>
    </w:p>
    <w:p w14:paraId="6F62FF18">
      <w:pPr>
        <w:widowControl w:val="0"/>
        <w:numPr>
          <w:ilvl w:val="0"/>
          <w:numId w:val="0"/>
        </w:numPr>
        <w:jc w:val="both"/>
        <w:rPr>
          <w:rFonts w:hint="eastAsia" w:ascii="Times New Roman" w:hAnsi="Times New Roman" w:cs="Times New Roman"/>
          <w:lang w:val="en-US" w:eastAsia="zh-CN"/>
        </w:rPr>
      </w:pPr>
    </w:p>
    <w:p w14:paraId="061697C6">
      <w:pPr>
        <w:widowControl w:val="0"/>
        <w:numPr>
          <w:ilvl w:val="0"/>
          <w:numId w:val="0"/>
        </w:numPr>
        <w:jc w:val="both"/>
        <w:rPr>
          <w:rFonts w:hint="eastAsia" w:ascii="Times New Roman" w:hAnsi="Times New Roman" w:cs="Times New Roman"/>
          <w:lang w:val="en-US" w:eastAsia="zh-CN"/>
        </w:rPr>
      </w:pPr>
    </w:p>
    <w:p w14:paraId="166B8A90">
      <w:pPr>
        <w:widowControl w:val="0"/>
        <w:numPr>
          <w:ilvl w:val="0"/>
          <w:numId w:val="0"/>
        </w:numPr>
        <w:jc w:val="both"/>
        <w:rPr>
          <w:rFonts w:hint="default" w:ascii="Times New Roman" w:hAnsi="Times New Roman" w:cs="Times New Roman"/>
          <w:lang w:val="en-US" w:eastAsia="zh-CN"/>
        </w:rPr>
      </w:pPr>
      <w:r>
        <w:rPr>
          <w:rFonts w:hint="eastAsia" w:ascii="Times New Roman" w:hAnsi="Times New Roman" w:cs="Times New Roman"/>
          <w:lang w:val="en-US" w:eastAsia="zh-CN"/>
        </w:rPr>
        <w:t>6.2 政策建议：推动农业生产性服务数字化中台建设。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96E58E"/>
    <w:multiLevelType w:val="multilevel"/>
    <w:tmpl w:val="0196E58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6E5D61A"/>
    <w:multiLevelType w:val="multilevel"/>
    <w:tmpl w:val="16E5D61A"/>
    <w:lvl w:ilvl="0" w:tentative="0">
      <w:start w:val="3"/>
      <w:numFmt w:val="chineseCounting"/>
      <w:suff w:val="space"/>
      <w:lvlText w:val="第%1章"/>
      <w:lvlJc w:val="left"/>
      <w:rPr>
        <w:rFonts w:hint="eastAsia"/>
      </w:rPr>
    </w:lvl>
    <w:lvl w:ilvl="1" w:tentative="0">
      <w:start w:val="1"/>
      <w:numFmt w:val="chineseCounting"/>
      <w:suff w:val="nothing"/>
      <w:lvlText w:val="%2、"/>
      <w:lvlJc w:val="left"/>
      <w:rPr>
        <w:rFonts w:hint="eastAsia"/>
      </w:rPr>
    </w:lvl>
    <w:lvl w:ilvl="2" w:tentative="0">
      <w:start w:val="1"/>
      <w:numFmt w:val="chineseCounting"/>
      <w:suff w:val="nothing"/>
      <w:lvlText w:val="（%3）"/>
      <w:lvlJc w:val="left"/>
      <w:rPr>
        <w:rFonts w:hint="eastAsia"/>
      </w:rPr>
    </w:lvl>
    <w:lvl w:ilvl="3" w:tentative="0">
      <w:start w:val="1"/>
      <w:numFmt w:val="decimal"/>
      <w:suff w:val="nothing"/>
      <w:lvlText w:val="%4．"/>
      <w:lvlJc w:val="left"/>
      <w:rPr>
        <w:rFonts w:hint="eastAsia"/>
      </w:rPr>
    </w:lvl>
    <w:lvl w:ilvl="4" w:tentative="0">
      <w:start w:val="1"/>
      <w:numFmt w:val="decimal"/>
      <w:suff w:val="nothing"/>
      <w:lvlText w:val="（%5）"/>
      <w:lvlJc w:val="left"/>
      <w:rPr>
        <w:rFonts w:hint="eastAsia"/>
      </w:rPr>
    </w:lvl>
    <w:lvl w:ilvl="5" w:tentative="0">
      <w:start w:val="1"/>
      <w:numFmt w:val="decimalEnclosedCircleChinese"/>
      <w:suff w:val="nothing"/>
      <w:lvlText w:val="%6"/>
      <w:lvlJc w:val="left"/>
      <w:rPr>
        <w:rFonts w:hint="eastAsia"/>
      </w:rPr>
    </w:lvl>
    <w:lvl w:ilvl="6" w:tentative="0">
      <w:start w:val="1"/>
      <w:numFmt w:val="decimal"/>
      <w:suff w:val="nothing"/>
      <w:lvlText w:val="%7）"/>
      <w:lvlJc w:val="left"/>
      <w:rPr>
        <w:rFonts w:hint="eastAsia"/>
      </w:rPr>
    </w:lvl>
    <w:lvl w:ilvl="7" w:tentative="0">
      <w:start w:val="1"/>
      <w:numFmt w:val="lowerLetter"/>
      <w:suff w:val="nothing"/>
      <w:lvlText w:val="%8．"/>
      <w:lvlJc w:val="left"/>
      <w:rPr>
        <w:rFonts w:hint="eastAsia"/>
      </w:rPr>
    </w:lvl>
    <w:lvl w:ilvl="8" w:tentative="0">
      <w:start w:val="1"/>
      <w:numFmt w:val="lowerLetter"/>
      <w:suff w:val="nothing"/>
      <w:lvlText w:val="%9）"/>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436D7A"/>
    <w:rsid w:val="0C760E99"/>
    <w:rsid w:val="0FA47B58"/>
    <w:rsid w:val="12431795"/>
    <w:rsid w:val="140C3BEC"/>
    <w:rsid w:val="1F863602"/>
    <w:rsid w:val="20F36B91"/>
    <w:rsid w:val="24DC16EA"/>
    <w:rsid w:val="30340F60"/>
    <w:rsid w:val="34CE54F3"/>
    <w:rsid w:val="3EC06238"/>
    <w:rsid w:val="42707BEA"/>
    <w:rsid w:val="4D76026D"/>
    <w:rsid w:val="533B7DA0"/>
    <w:rsid w:val="768216BE"/>
    <w:rsid w:val="78436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1826</Words>
  <Characters>1957</Characters>
  <Lines>0</Lines>
  <Paragraphs>0</Paragraphs>
  <TotalTime>102</TotalTime>
  <ScaleCrop>false</ScaleCrop>
  <LinksUpToDate>false</LinksUpToDate>
  <CharactersWithSpaces>2010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2026-03-28T11:07:00Z</dcterms:created>
  <dc:creator>魏超</dc:creator>
  <cp:lastModifiedBy>魏超</cp:lastModifiedBy>
  <dcterms:modified xsi:type="dcterms:W3CDTF">2026-03-29T03:46:14Z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19FCFD08C9CC44E0A7F7442EFD996EA1_11</vt:lpwstr>
  </property>
  <property fmtid="{D5CDD505-2E9C-101B-9397-08002B2CF9AE}" pid="4" name="KSOTemplateDocerSaveRecord">
    <vt:lpwstr>eyJoZGlkIjoiMDEyZmEyM2Y2ZDVkYjIyOWY5YzUxMzczOGUxZWJjNmQiLCJ1c2VySWQiOiIzMTcwODE5MDQifQ==</vt:lpwstr>
  </property>
</Properties>
</file>