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时间规律与假日效应简化分析及求解</w:t>
      </w:r>
    </w:p>
    <w:p>
      <w:pPr>
        <w:jc w:val="center"/>
      </w:pPr>
      <w:r>
        <w:rPr>
          <w:rFonts w:ascii="黑体" w:hAnsi="黑体" w:eastAsia="黑体"/>
          <w:sz w:val="24"/>
        </w:rPr>
        <w:t>E题第一问投放策略与时间分析</w:t>
      </w:r>
    </w:p>
    <w:p>
      <w:pPr>
        <w:pStyle w:val="Heading1"/>
      </w:pPr>
      <w:r>
        <w:t>一 分析结论与模型选择</w:t>
      </w:r>
    </w:p>
    <w:p>
      <w:r>
        <w:t>为减少变量数量并保持结论可解释，本文将原来的6个星期虚拟变量合并为一个周末变量，最终采用“广告投入、时间趋势、周末、法定节假日”四因素日度对数线性回归模型。该模型仍能回答投入是否有效、全年是否存在长期趋势、周末是否不同于工作日、节假日是否存在额外影响四个核心问题，且可直接用普通最小二乘法求解。</w:t>
      </w:r>
    </w:p>
    <w:p>
      <w:r>
        <w:t>重新使用附件1的365天数据拟合后，广告投入系数显著为正；时间趋势不显著；周末和节假日系数均为负，但在5%显著性水平下未通过检验。因而，第一问可以确认投入与注册量存在稳定的正向关系，但不能断言注册量随时间持续变化，也不能把所有周末或节假日统一视为显著不利日期。</w:t>
      </w:r>
    </w:p>
    <w:p>
      <w:pPr>
        <w:pStyle w:val="Heading1"/>
      </w:pPr>
      <w:r>
        <w:t>二 为什么要简化变量</w:t>
      </w:r>
    </w:p>
    <w:tbl>
      <w:tblPr>
        <w:tblStyle w:val="TableGrid"/>
        <w:tblW w:type="auto" w:w="0"/>
        <w:jc w:val="center"/>
        <w:tblLook w:firstColumn="1" w:firstRow="1" w:lastColumn="0" w:lastRow="0" w:noHBand="0" w:noVBand="1" w:val="04A0"/>
      </w:tblPr>
      <w:tblGrid>
        <w:gridCol w:w="3331"/>
        <w:gridCol w:w="3331"/>
        <w:gridCol w:w="3331"/>
      </w:tblGrid>
      <w:tr>
        <w:tc>
          <w:tcPr>
            <w:tcW w:type="dxa" w:w="1800"/>
            <w:shd w:fill="1F4E78"/>
            <w:vAlign w:val="center"/>
            <w:tcMar>
              <w:top w:w="90" w:type="dxa"/>
              <w:start w:w="100" w:type="dxa"/>
              <w:bottom w:w="90" w:type="dxa"/>
              <w:end w:w="100" w:type="dxa"/>
            </w:tcMar>
          </w:tcPr>
          <w:p>
            <w:pPr>
              <w:jc w:val="center"/>
            </w:pPr>
            <w:r>
              <w:rPr>
                <w:b/>
                <w:color w:val="FFFFFF"/>
                <w:sz w:val="19"/>
              </w:rPr>
              <w:t>原方案</w:t>
            </w:r>
          </w:p>
        </w:tc>
        <w:tc>
          <w:tcPr>
            <w:tcW w:type="dxa" w:w="1872"/>
            <w:shd w:fill="1F4E78"/>
            <w:vAlign w:val="center"/>
            <w:tcMar>
              <w:top w:w="90" w:type="dxa"/>
              <w:start w:w="100" w:type="dxa"/>
              <w:bottom w:w="90" w:type="dxa"/>
              <w:end w:w="100" w:type="dxa"/>
            </w:tcMar>
          </w:tcPr>
          <w:p>
            <w:pPr>
              <w:jc w:val="center"/>
            </w:pPr>
            <w:r>
              <w:rPr>
                <w:b/>
                <w:color w:val="FFFFFF"/>
                <w:sz w:val="19"/>
              </w:rPr>
              <w:t>简化方案</w:t>
            </w:r>
          </w:p>
        </w:tc>
        <w:tc>
          <w:tcPr>
            <w:tcW w:type="dxa" w:w="5976"/>
            <w:shd w:fill="1F4E78"/>
            <w:vAlign w:val="center"/>
            <w:tcMar>
              <w:top w:w="90" w:type="dxa"/>
              <w:start w:w="100" w:type="dxa"/>
              <w:bottom w:w="90" w:type="dxa"/>
              <w:end w:w="100" w:type="dxa"/>
            </w:tcMar>
          </w:tcPr>
          <w:p>
            <w:pPr>
              <w:jc w:val="center"/>
            </w:pPr>
            <w:r>
              <w:rPr>
                <w:b/>
                <w:color w:val="FFFFFF"/>
                <w:sz w:val="19"/>
              </w:rPr>
              <w:t>处理理由</w:t>
            </w:r>
          </w:p>
        </w:tc>
      </w:tr>
      <w:tr>
        <w:tc>
          <w:tcPr>
            <w:tcW w:type="dxa" w:w="1800"/>
            <w:vAlign w:val="center"/>
            <w:tcMar>
              <w:top w:w="90" w:type="dxa"/>
              <w:start w:w="100" w:type="dxa"/>
              <w:bottom w:w="90" w:type="dxa"/>
              <w:end w:w="100" w:type="dxa"/>
            </w:tcMar>
          </w:tcPr>
          <w:p>
            <w:pPr>
              <w:jc w:val="center"/>
            </w:pPr>
            <w:r>
              <w:rPr>
                <w:rFonts w:ascii="宋体" w:hAnsi="宋体" w:eastAsia="宋体"/>
                <w:sz w:val="19"/>
              </w:rPr>
              <w:t>6个星期虚拟变量</w:t>
            </w:r>
          </w:p>
        </w:tc>
        <w:tc>
          <w:tcPr>
            <w:tcW w:type="dxa" w:w="1872"/>
            <w:vAlign w:val="center"/>
            <w:tcMar>
              <w:top w:w="90" w:type="dxa"/>
              <w:start w:w="100" w:type="dxa"/>
              <w:bottom w:w="90" w:type="dxa"/>
              <w:end w:w="100" w:type="dxa"/>
            </w:tcMar>
          </w:tcPr>
          <w:p>
            <w:pPr>
              <w:jc w:val="center"/>
            </w:pPr>
            <w:r>
              <w:rPr>
                <w:rFonts w:ascii="宋体" w:hAnsi="宋体" w:eastAsia="宋体"/>
                <w:sz w:val="19"/>
              </w:rPr>
              <w:t>1个周末变量</w:t>
            </w:r>
          </w:p>
        </w:tc>
        <w:tc>
          <w:tcPr>
            <w:tcW w:type="dxa" w:w="5976"/>
            <w:vAlign w:val="center"/>
            <w:tcMar>
              <w:top w:w="90" w:type="dxa"/>
              <w:start w:w="100" w:type="dxa"/>
              <w:bottom w:w="90" w:type="dxa"/>
              <w:end w:w="100" w:type="dxa"/>
            </w:tcMar>
          </w:tcPr>
          <w:p>
            <w:pPr>
              <w:jc w:val="left"/>
            </w:pPr>
            <w:r>
              <w:rPr>
                <w:rFonts w:ascii="宋体" w:hAnsi="宋体" w:eastAsia="宋体"/>
                <w:sz w:val="19"/>
              </w:rPr>
              <w:t>题目重点是周末和假日，不必逐日比较星期二至星期日</w:t>
            </w:r>
          </w:p>
        </w:tc>
      </w:tr>
      <w:tr>
        <w:tc>
          <w:tcPr>
            <w:tcW w:type="dxa" w:w="1800"/>
            <w:vAlign w:val="center"/>
            <w:tcMar>
              <w:top w:w="90" w:type="dxa"/>
              <w:start w:w="100" w:type="dxa"/>
              <w:bottom w:w="90" w:type="dxa"/>
              <w:end w:w="100" w:type="dxa"/>
            </w:tcMar>
            <w:shd w:fill="F3F7FA"/>
          </w:tcPr>
          <w:p>
            <w:pPr>
              <w:jc w:val="center"/>
            </w:pPr>
            <w:r>
              <w:rPr>
                <w:rFonts w:ascii="宋体" w:hAnsi="宋体" w:eastAsia="宋体"/>
                <w:sz w:val="19"/>
              </w:rPr>
              <w:t>法定假日变量</w:t>
            </w:r>
          </w:p>
        </w:tc>
        <w:tc>
          <w:tcPr>
            <w:tcW w:type="dxa" w:w="1872"/>
            <w:vAlign w:val="center"/>
            <w:tcMar>
              <w:top w:w="90" w:type="dxa"/>
              <w:start w:w="100" w:type="dxa"/>
              <w:bottom w:w="90" w:type="dxa"/>
              <w:end w:w="100" w:type="dxa"/>
            </w:tcMar>
            <w:shd w:fill="F3F7FA"/>
          </w:tcPr>
          <w:p>
            <w:pPr>
              <w:jc w:val="center"/>
            </w:pPr>
            <w:r>
              <w:rPr>
                <w:rFonts w:ascii="宋体" w:hAnsi="宋体" w:eastAsia="宋体"/>
                <w:sz w:val="19"/>
              </w:rPr>
              <w:t>继续保留</w:t>
            </w:r>
          </w:p>
        </w:tc>
        <w:tc>
          <w:tcPr>
            <w:tcW w:type="dxa" w:w="5976"/>
            <w:vAlign w:val="center"/>
            <w:tcMar>
              <w:top w:w="90" w:type="dxa"/>
              <w:start w:w="100" w:type="dxa"/>
              <w:bottom w:w="90" w:type="dxa"/>
              <w:end w:w="100" w:type="dxa"/>
            </w:tcMar>
            <w:shd w:fill="F3F7FA"/>
          </w:tcPr>
          <w:p>
            <w:pPr>
              <w:jc w:val="left"/>
            </w:pPr>
            <w:r>
              <w:rPr>
                <w:rFonts w:ascii="宋体" w:hAnsi="宋体" w:eastAsia="宋体"/>
                <w:sz w:val="19"/>
              </w:rPr>
              <w:t>用于识别节假日在控制投入和周末后的额外影响</w:t>
            </w:r>
          </w:p>
        </w:tc>
      </w:tr>
      <w:tr>
        <w:tc>
          <w:tcPr>
            <w:tcW w:type="dxa" w:w="1800"/>
            <w:vAlign w:val="center"/>
            <w:tcMar>
              <w:top w:w="90" w:type="dxa"/>
              <w:start w:w="100" w:type="dxa"/>
              <w:bottom w:w="90" w:type="dxa"/>
              <w:end w:w="100" w:type="dxa"/>
            </w:tcMar>
          </w:tcPr>
          <w:p>
            <w:pPr>
              <w:jc w:val="center"/>
            </w:pPr>
            <w:r>
              <w:rPr>
                <w:rFonts w:ascii="宋体" w:hAnsi="宋体" w:eastAsia="宋体"/>
                <w:sz w:val="19"/>
              </w:rPr>
              <w:t>线性时间趋势</w:t>
            </w:r>
          </w:p>
        </w:tc>
        <w:tc>
          <w:tcPr>
            <w:tcW w:type="dxa" w:w="1872"/>
            <w:vAlign w:val="center"/>
            <w:tcMar>
              <w:top w:w="90" w:type="dxa"/>
              <w:start w:w="100" w:type="dxa"/>
              <w:bottom w:w="90" w:type="dxa"/>
              <w:end w:w="100" w:type="dxa"/>
            </w:tcMar>
          </w:tcPr>
          <w:p>
            <w:pPr>
              <w:jc w:val="center"/>
            </w:pPr>
            <w:r>
              <w:rPr>
                <w:rFonts w:ascii="宋体" w:hAnsi="宋体" w:eastAsia="宋体"/>
                <w:sz w:val="19"/>
              </w:rPr>
              <w:t>继续保留</w:t>
            </w:r>
          </w:p>
        </w:tc>
        <w:tc>
          <w:tcPr>
            <w:tcW w:type="dxa" w:w="5976"/>
            <w:vAlign w:val="center"/>
            <w:tcMar>
              <w:top w:w="90" w:type="dxa"/>
              <w:start w:w="100" w:type="dxa"/>
              <w:bottom w:w="90" w:type="dxa"/>
              <w:end w:w="100" w:type="dxa"/>
            </w:tcMar>
          </w:tcPr>
          <w:p>
            <w:pPr>
              <w:jc w:val="left"/>
            </w:pPr>
            <w:r>
              <w:rPr>
                <w:rFonts w:ascii="宋体" w:hAnsi="宋体" w:eastAsia="宋体"/>
                <w:sz w:val="19"/>
              </w:rPr>
              <w:t>用于检验全年是否持续上升或下降</w:t>
            </w:r>
          </w:p>
        </w:tc>
      </w:tr>
      <w:tr>
        <w:tc>
          <w:tcPr>
            <w:tcW w:type="dxa" w:w="1800"/>
            <w:vAlign w:val="center"/>
            <w:tcMar>
              <w:top w:w="90" w:type="dxa"/>
              <w:start w:w="100" w:type="dxa"/>
              <w:bottom w:w="90" w:type="dxa"/>
              <w:end w:w="100" w:type="dxa"/>
            </w:tcMar>
            <w:shd w:fill="F3F7FA"/>
          </w:tcPr>
          <w:p>
            <w:pPr>
              <w:jc w:val="center"/>
            </w:pPr>
            <w:r>
              <w:rPr>
                <w:rFonts w:ascii="宋体" w:hAnsi="宋体" w:eastAsia="宋体"/>
                <w:sz w:val="19"/>
              </w:rPr>
              <w:t>滞后1日投入</w:t>
            </w:r>
          </w:p>
        </w:tc>
        <w:tc>
          <w:tcPr>
            <w:tcW w:type="dxa" w:w="1872"/>
            <w:vAlign w:val="center"/>
            <w:tcMar>
              <w:top w:w="90" w:type="dxa"/>
              <w:start w:w="100" w:type="dxa"/>
              <w:bottom w:w="90" w:type="dxa"/>
              <w:end w:w="100" w:type="dxa"/>
            </w:tcMar>
            <w:shd w:fill="F3F7FA"/>
          </w:tcPr>
          <w:p>
            <w:pPr>
              <w:jc w:val="center"/>
            </w:pPr>
            <w:r>
              <w:rPr>
                <w:rFonts w:ascii="宋体" w:hAnsi="宋体" w:eastAsia="宋体"/>
                <w:sz w:val="19"/>
              </w:rPr>
              <w:t>仅作补充</w:t>
            </w:r>
          </w:p>
        </w:tc>
        <w:tc>
          <w:tcPr>
            <w:tcW w:type="dxa" w:w="5976"/>
            <w:vAlign w:val="center"/>
            <w:tcMar>
              <w:top w:w="90" w:type="dxa"/>
              <w:start w:w="100" w:type="dxa"/>
              <w:bottom w:w="90" w:type="dxa"/>
              <w:end w:w="100" w:type="dxa"/>
            </w:tcMar>
            <w:shd w:fill="F3F7FA"/>
          </w:tcPr>
          <w:p>
            <w:pPr>
              <w:jc w:val="left"/>
            </w:pPr>
            <w:r>
              <w:rPr>
                <w:rFonts w:ascii="宋体" w:hAnsi="宋体" w:eastAsia="宋体"/>
                <w:sz w:val="19"/>
              </w:rPr>
              <w:t>原检验p值约0.0537，不作为主模型可保持简洁</w:t>
            </w:r>
          </w:p>
        </w:tc>
      </w:tr>
    </w:tbl>
    <w:p>
      <w:pPr>
        <w:spacing w:after="20"/>
      </w:pPr>
    </w:p>
    <w:p>
      <w:r>
        <w:t>简化后，星期六和星期日统一记为周末，不再单独比较每一个星期几。周末变量与法定节假日变量可以同时使用：前者反映每周周期，后者反映法定假期的额外影响。</w:t>
      </w:r>
    </w:p>
    <w:p>
      <w:pPr>
        <w:pStyle w:val="Heading1"/>
      </w:pPr>
      <w:r>
        <w:t>三 数据整理与变量构造</w:t>
      </w:r>
    </w:p>
    <w:p>
      <w:pPr>
        <w:pStyle w:val="Heading2"/>
      </w:pPr>
      <w:r>
        <w:t>3.1 按日期汇总</w:t>
      </w:r>
    </w:p>
    <w:p>
      <w:r>
        <w:t>Sheet1为“日期—方案—推广单元”层面的投放数据，Sheet2为公司每日新增注册数。首先将同一天所有方案、推广单元的消费额求和，再按日期与Sheet2匹配，得到365行日度数据。</w:t>
      </w:r>
    </w:p>
    <w:p>
      <w:pPr>
        <w:spacing w:before="100" w:after="140"/>
        <w:jc w:val="center"/>
      </w:pPr>
      <w:r>
        <w:rPr>
          <w:rFonts w:ascii="Cambria Math" w:hAnsi="Cambria Math" w:eastAsia="Cambria Math"/>
          <w:i/>
          <w:sz w:val="23"/>
        </w:rPr>
        <w:t>Cₜ = Σₚ Σᵤ Cₚᵤₜ</w:t>
      </w:r>
    </w:p>
    <w:p>
      <w:r>
        <w:t>其中，Cₜ为第t天公司总广告消费，Cₚᵤₜ为方案p、推广单元u在第t天的消费额；Rₜ为第t天新增注册数。</w:t>
      </w:r>
    </w:p>
    <w:p>
      <w:pPr>
        <w:pStyle w:val="Heading2"/>
      </w:pPr>
      <w:r>
        <w:t>3.2 构造四个解释变量</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shd w:fill="1F4E78"/>
            <w:vAlign w:val="center"/>
            <w:tcMar>
              <w:top w:w="90" w:type="dxa"/>
              <w:start w:w="100" w:type="dxa"/>
              <w:bottom w:w="90" w:type="dxa"/>
              <w:end w:w="100" w:type="dxa"/>
            </w:tcMar>
          </w:tcPr>
          <w:p>
            <w:pPr>
              <w:jc w:val="center"/>
            </w:pPr>
            <w:r>
              <w:rPr>
                <w:b/>
                <w:color w:val="FFFFFF"/>
                <w:sz w:val="19"/>
              </w:rPr>
              <w:t>变量</w:t>
            </w:r>
          </w:p>
        </w:tc>
        <w:tc>
          <w:tcPr>
            <w:tcW w:type="dxa" w:w="1800"/>
            <w:shd w:fill="1F4E78"/>
            <w:vAlign w:val="center"/>
            <w:tcMar>
              <w:top w:w="90" w:type="dxa"/>
              <w:start w:w="100" w:type="dxa"/>
              <w:bottom w:w="90" w:type="dxa"/>
              <w:end w:w="100" w:type="dxa"/>
            </w:tcMar>
          </w:tcPr>
          <w:p>
            <w:pPr>
              <w:jc w:val="center"/>
            </w:pPr>
            <w:r>
              <w:rPr>
                <w:b/>
                <w:color w:val="FFFFFF"/>
                <w:sz w:val="19"/>
              </w:rPr>
              <w:t>记号</w:t>
            </w:r>
          </w:p>
        </w:tc>
        <w:tc>
          <w:tcPr>
            <w:tcW w:type="dxa" w:w="3384"/>
            <w:shd w:fill="1F4E78"/>
            <w:vAlign w:val="center"/>
            <w:tcMar>
              <w:top w:w="90" w:type="dxa"/>
              <w:start w:w="100" w:type="dxa"/>
              <w:bottom w:w="90" w:type="dxa"/>
              <w:end w:w="100" w:type="dxa"/>
            </w:tcMar>
          </w:tcPr>
          <w:p>
            <w:pPr>
              <w:jc w:val="center"/>
            </w:pPr>
            <w:r>
              <w:rPr>
                <w:b/>
                <w:color w:val="FFFFFF"/>
                <w:sz w:val="19"/>
              </w:rPr>
              <w:t>构造方法</w:t>
            </w:r>
          </w:p>
        </w:tc>
        <w:tc>
          <w:tcPr>
            <w:tcW w:type="dxa" w:w="2880"/>
            <w:shd w:fill="1F4E78"/>
            <w:vAlign w:val="center"/>
            <w:tcMar>
              <w:top w:w="90" w:type="dxa"/>
              <w:start w:w="100" w:type="dxa"/>
              <w:bottom w:w="90" w:type="dxa"/>
              <w:end w:w="100" w:type="dxa"/>
            </w:tcMar>
          </w:tcPr>
          <w:p>
            <w:pPr>
              <w:jc w:val="center"/>
            </w:pPr>
            <w:r>
              <w:rPr>
                <w:b/>
                <w:color w:val="FFFFFF"/>
                <w:sz w:val="19"/>
              </w:rPr>
              <w:t>含义</w:t>
            </w:r>
          </w:p>
        </w:tc>
      </w:tr>
      <w:tr>
        <w:tc>
          <w:tcPr>
            <w:tcW w:type="dxa" w:w="1584"/>
            <w:vAlign w:val="center"/>
            <w:tcMar>
              <w:top w:w="90" w:type="dxa"/>
              <w:start w:w="100" w:type="dxa"/>
              <w:bottom w:w="90" w:type="dxa"/>
              <w:end w:w="100" w:type="dxa"/>
            </w:tcMar>
          </w:tcPr>
          <w:p>
            <w:pPr>
              <w:jc w:val="center"/>
            </w:pPr>
            <w:r>
              <w:rPr>
                <w:rFonts w:ascii="宋体" w:hAnsi="宋体" w:eastAsia="宋体"/>
                <w:sz w:val="19"/>
              </w:rPr>
              <w:t>广告投入</w:t>
            </w:r>
          </w:p>
        </w:tc>
        <w:tc>
          <w:tcPr>
            <w:tcW w:type="dxa" w:w="1800"/>
            <w:vAlign w:val="center"/>
            <w:tcMar>
              <w:top w:w="90" w:type="dxa"/>
              <w:start w:w="100" w:type="dxa"/>
              <w:bottom w:w="90" w:type="dxa"/>
              <w:end w:w="100" w:type="dxa"/>
            </w:tcMar>
          </w:tcPr>
          <w:p>
            <w:pPr>
              <w:jc w:val="center"/>
            </w:pPr>
            <w:r>
              <w:rPr>
                <w:rFonts w:ascii="宋体" w:hAnsi="宋体" w:eastAsia="宋体"/>
                <w:sz w:val="19"/>
              </w:rPr>
              <w:t>ln(Cₜ+1)</w:t>
            </w:r>
          </w:p>
        </w:tc>
        <w:tc>
          <w:tcPr>
            <w:tcW w:type="dxa" w:w="3384"/>
            <w:vAlign w:val="center"/>
            <w:tcMar>
              <w:top w:w="90" w:type="dxa"/>
              <w:start w:w="100" w:type="dxa"/>
              <w:bottom w:w="90" w:type="dxa"/>
              <w:end w:w="100" w:type="dxa"/>
            </w:tcMar>
          </w:tcPr>
          <w:p>
            <w:pPr>
              <w:jc w:val="left"/>
            </w:pPr>
            <w:r>
              <w:rPr>
                <w:rFonts w:ascii="宋体" w:hAnsi="宋体" w:eastAsia="宋体"/>
                <w:sz w:val="19"/>
              </w:rPr>
              <w:t>当日总消费加1后取自然对数</w:t>
            </w:r>
          </w:p>
        </w:tc>
        <w:tc>
          <w:tcPr>
            <w:tcW w:type="dxa" w:w="2880"/>
            <w:vAlign w:val="center"/>
            <w:tcMar>
              <w:top w:w="90" w:type="dxa"/>
              <w:start w:w="100" w:type="dxa"/>
              <w:bottom w:w="90" w:type="dxa"/>
              <w:end w:w="100" w:type="dxa"/>
            </w:tcMar>
          </w:tcPr>
          <w:p>
            <w:pPr>
              <w:jc w:val="left"/>
            </w:pPr>
            <w:r>
              <w:rPr>
                <w:rFonts w:ascii="宋体" w:hAnsi="宋体" w:eastAsia="宋体"/>
                <w:sz w:val="19"/>
              </w:rPr>
              <w:t>控制每天投放规模差异</w:t>
            </w:r>
          </w:p>
        </w:tc>
      </w:tr>
      <w:tr>
        <w:tc>
          <w:tcPr>
            <w:tcW w:type="dxa" w:w="1584"/>
            <w:vAlign w:val="center"/>
            <w:tcMar>
              <w:top w:w="90" w:type="dxa"/>
              <w:start w:w="100" w:type="dxa"/>
              <w:bottom w:w="90" w:type="dxa"/>
              <w:end w:w="100" w:type="dxa"/>
            </w:tcMar>
            <w:shd w:fill="F3F7FA"/>
          </w:tcPr>
          <w:p>
            <w:pPr>
              <w:jc w:val="center"/>
            </w:pPr>
            <w:r>
              <w:rPr>
                <w:rFonts w:ascii="宋体" w:hAnsi="宋体" w:eastAsia="宋体"/>
                <w:sz w:val="19"/>
              </w:rPr>
              <w:t>时间趋势</w:t>
            </w:r>
          </w:p>
        </w:tc>
        <w:tc>
          <w:tcPr>
            <w:tcW w:type="dxa" w:w="1800"/>
            <w:vAlign w:val="center"/>
            <w:tcMar>
              <w:top w:w="90" w:type="dxa"/>
              <w:start w:w="100" w:type="dxa"/>
              <w:bottom w:w="90" w:type="dxa"/>
              <w:end w:w="100" w:type="dxa"/>
            </w:tcMar>
            <w:shd w:fill="F3F7FA"/>
          </w:tcPr>
          <w:p>
            <w:pPr>
              <w:jc w:val="center"/>
            </w:pPr>
            <w:r>
              <w:rPr>
                <w:rFonts w:ascii="宋体" w:hAnsi="宋体" w:eastAsia="宋体"/>
                <w:sz w:val="19"/>
              </w:rPr>
              <w:t>Tₜ</w:t>
            </w:r>
          </w:p>
        </w:tc>
        <w:tc>
          <w:tcPr>
            <w:tcW w:type="dxa" w:w="3384"/>
            <w:vAlign w:val="center"/>
            <w:tcMar>
              <w:top w:w="90" w:type="dxa"/>
              <w:start w:w="100" w:type="dxa"/>
              <w:bottom w:w="90" w:type="dxa"/>
              <w:end w:w="100" w:type="dxa"/>
            </w:tcMar>
            <w:shd w:fill="F3F7FA"/>
          </w:tcPr>
          <w:p>
            <w:pPr>
              <w:jc w:val="left"/>
            </w:pPr>
            <w:r>
              <w:rPr>
                <w:rFonts w:ascii="宋体" w:hAnsi="宋体" w:eastAsia="宋体"/>
                <w:sz w:val="19"/>
              </w:rPr>
              <w:t>按日期依次取1至365</w:t>
            </w:r>
          </w:p>
        </w:tc>
        <w:tc>
          <w:tcPr>
            <w:tcW w:type="dxa" w:w="2880"/>
            <w:vAlign w:val="center"/>
            <w:tcMar>
              <w:top w:w="90" w:type="dxa"/>
              <w:start w:w="100" w:type="dxa"/>
              <w:bottom w:w="90" w:type="dxa"/>
              <w:end w:w="100" w:type="dxa"/>
            </w:tcMar>
            <w:shd w:fill="F3F7FA"/>
          </w:tcPr>
          <w:p>
            <w:pPr>
              <w:jc w:val="left"/>
            </w:pPr>
            <w:r>
              <w:rPr>
                <w:rFonts w:ascii="宋体" w:hAnsi="宋体" w:eastAsia="宋体"/>
                <w:sz w:val="19"/>
              </w:rPr>
              <w:t>检验长期上升或下降趋势</w:t>
            </w:r>
          </w:p>
        </w:tc>
      </w:tr>
      <w:tr>
        <w:tc>
          <w:tcPr>
            <w:tcW w:type="dxa" w:w="1584"/>
            <w:vAlign w:val="center"/>
            <w:tcMar>
              <w:top w:w="90" w:type="dxa"/>
              <w:start w:w="100" w:type="dxa"/>
              <w:bottom w:w="90" w:type="dxa"/>
              <w:end w:w="100" w:type="dxa"/>
            </w:tcMar>
          </w:tcPr>
          <w:p>
            <w:pPr>
              <w:jc w:val="center"/>
            </w:pPr>
            <w:r>
              <w:rPr>
                <w:rFonts w:ascii="宋体" w:hAnsi="宋体" w:eastAsia="宋体"/>
                <w:sz w:val="19"/>
              </w:rPr>
              <w:t>周末变量</w:t>
            </w:r>
          </w:p>
        </w:tc>
        <w:tc>
          <w:tcPr>
            <w:tcW w:type="dxa" w:w="1800"/>
            <w:vAlign w:val="center"/>
            <w:tcMar>
              <w:top w:w="90" w:type="dxa"/>
              <w:start w:w="100" w:type="dxa"/>
              <w:bottom w:w="90" w:type="dxa"/>
              <w:end w:w="100" w:type="dxa"/>
            </w:tcMar>
          </w:tcPr>
          <w:p>
            <w:pPr>
              <w:jc w:val="center"/>
            </w:pPr>
            <w:r>
              <w:rPr>
                <w:rFonts w:ascii="宋体" w:hAnsi="宋体" w:eastAsia="宋体"/>
                <w:sz w:val="19"/>
              </w:rPr>
              <w:t>Wₜ</w:t>
            </w:r>
          </w:p>
        </w:tc>
        <w:tc>
          <w:tcPr>
            <w:tcW w:type="dxa" w:w="3384"/>
            <w:vAlign w:val="center"/>
            <w:tcMar>
              <w:top w:w="90" w:type="dxa"/>
              <w:start w:w="100" w:type="dxa"/>
              <w:bottom w:w="90" w:type="dxa"/>
              <w:end w:w="100" w:type="dxa"/>
            </w:tcMar>
          </w:tcPr>
          <w:p>
            <w:pPr>
              <w:jc w:val="left"/>
            </w:pPr>
            <w:r>
              <w:rPr>
                <w:rFonts w:ascii="宋体" w:hAnsi="宋体" w:eastAsia="宋体"/>
                <w:sz w:val="19"/>
              </w:rPr>
              <w:t>星期六、日取1，否则取0</w:t>
            </w:r>
          </w:p>
        </w:tc>
        <w:tc>
          <w:tcPr>
            <w:tcW w:type="dxa" w:w="2880"/>
            <w:vAlign w:val="center"/>
            <w:tcMar>
              <w:top w:w="90" w:type="dxa"/>
              <w:start w:w="100" w:type="dxa"/>
              <w:bottom w:w="90" w:type="dxa"/>
              <w:end w:w="100" w:type="dxa"/>
            </w:tcMar>
          </w:tcPr>
          <w:p>
            <w:pPr>
              <w:jc w:val="left"/>
            </w:pPr>
            <w:r>
              <w:rPr>
                <w:rFonts w:ascii="宋体" w:hAnsi="宋体" w:eastAsia="宋体"/>
                <w:sz w:val="19"/>
              </w:rPr>
              <w:t>检验周末相对工作日的差异</w:t>
            </w:r>
          </w:p>
        </w:tc>
      </w:tr>
      <w:tr>
        <w:tc>
          <w:tcPr>
            <w:tcW w:type="dxa" w:w="1584"/>
            <w:vAlign w:val="center"/>
            <w:tcMar>
              <w:top w:w="90" w:type="dxa"/>
              <w:start w:w="100" w:type="dxa"/>
              <w:bottom w:w="90" w:type="dxa"/>
              <w:end w:w="100" w:type="dxa"/>
            </w:tcMar>
            <w:shd w:fill="F3F7FA"/>
          </w:tcPr>
          <w:p>
            <w:pPr>
              <w:jc w:val="center"/>
            </w:pPr>
            <w:r>
              <w:rPr>
                <w:rFonts w:ascii="宋体" w:hAnsi="宋体" w:eastAsia="宋体"/>
                <w:sz w:val="19"/>
              </w:rPr>
              <w:t>节假日变量</w:t>
            </w:r>
          </w:p>
        </w:tc>
        <w:tc>
          <w:tcPr>
            <w:tcW w:type="dxa" w:w="1800"/>
            <w:vAlign w:val="center"/>
            <w:tcMar>
              <w:top w:w="90" w:type="dxa"/>
              <w:start w:w="100" w:type="dxa"/>
              <w:bottom w:w="90" w:type="dxa"/>
              <w:end w:w="100" w:type="dxa"/>
            </w:tcMar>
            <w:shd w:fill="F3F7FA"/>
          </w:tcPr>
          <w:p>
            <w:pPr>
              <w:jc w:val="center"/>
            </w:pPr>
            <w:r>
              <w:rPr>
                <w:rFonts w:ascii="宋体" w:hAnsi="宋体" w:eastAsia="宋体"/>
                <w:sz w:val="19"/>
              </w:rPr>
              <w:t>Hₜ</w:t>
            </w:r>
          </w:p>
        </w:tc>
        <w:tc>
          <w:tcPr>
            <w:tcW w:type="dxa" w:w="3384"/>
            <w:vAlign w:val="center"/>
            <w:tcMar>
              <w:top w:w="90" w:type="dxa"/>
              <w:start w:w="100" w:type="dxa"/>
              <w:bottom w:w="90" w:type="dxa"/>
              <w:end w:w="100" w:type="dxa"/>
            </w:tcMar>
            <w:shd w:fill="F3F7FA"/>
          </w:tcPr>
          <w:p>
            <w:pPr>
              <w:jc w:val="left"/>
            </w:pPr>
            <w:r>
              <w:rPr>
                <w:rFonts w:ascii="宋体" w:hAnsi="宋体" w:eastAsia="宋体"/>
                <w:sz w:val="19"/>
              </w:rPr>
              <w:t>法定节假日取1，否则取0</w:t>
            </w:r>
          </w:p>
        </w:tc>
        <w:tc>
          <w:tcPr>
            <w:tcW w:type="dxa" w:w="2880"/>
            <w:vAlign w:val="center"/>
            <w:tcMar>
              <w:top w:w="90" w:type="dxa"/>
              <w:start w:w="100" w:type="dxa"/>
              <w:bottom w:w="90" w:type="dxa"/>
              <w:end w:w="100" w:type="dxa"/>
            </w:tcMar>
            <w:shd w:fill="F3F7FA"/>
          </w:tcPr>
          <w:p>
            <w:pPr>
              <w:jc w:val="left"/>
            </w:pPr>
            <w:r>
              <w:rPr>
                <w:rFonts w:ascii="宋体" w:hAnsi="宋体" w:eastAsia="宋体"/>
                <w:sz w:val="19"/>
              </w:rPr>
              <w:t>检验节假日额外影响</w:t>
            </w:r>
          </w:p>
        </w:tc>
      </w:tr>
    </w:tbl>
    <w:p>
      <w:pPr>
        <w:spacing w:after="20"/>
      </w:pPr>
    </w:p>
    <w:p>
      <w:r>
        <w:t>普通星期六、星期日只有Wₜ=1；法定假日Hₜ=1。若法定假日恰逢周末，则Wₜ和Hₜ可以同时为1，此时模型把周末的一般影响和法定假日的额外影响分开估计。</w:t>
      </w:r>
    </w:p>
    <w:p>
      <w:pPr>
        <w:pStyle w:val="Heading1"/>
      </w:pPr>
      <w:r>
        <w:t>四 时间与假日效应的图形探索</w:t>
      </w:r>
    </w:p>
    <w:p>
      <w:r>
        <w:drawing>
          <wp:inline xmlns:a="http://schemas.openxmlformats.org/drawingml/2006/main" xmlns:pic="http://schemas.openxmlformats.org/drawingml/2006/picture">
            <wp:extent cx="6263640" cy="4349931"/>
            <wp:docPr id="1" name="Picture 1"/>
            <wp:cNvGraphicFramePr>
              <a:graphicFrameLocks noChangeAspect="1"/>
            </wp:cNvGraphicFramePr>
            <a:graphic>
              <a:graphicData uri="http://schemas.openxmlformats.org/drawingml/2006/picture">
                <pic:pic>
                  <pic:nvPicPr>
                    <pic:cNvPr id="0" name="time_holiday_overview.png"/>
                    <pic:cNvPicPr/>
                  </pic:nvPicPr>
                  <pic:blipFill>
                    <a:blip r:embed="rId9"/>
                    <a:stretch>
                      <a:fillRect/>
                    </a:stretch>
                  </pic:blipFill>
                  <pic:spPr>
                    <a:xfrm>
                      <a:off x="0" y="0"/>
                      <a:ext cx="6263640" cy="4349931"/>
                    </a:xfrm>
                    <a:prstGeom prst="rect"/>
                  </pic:spPr>
                </pic:pic>
              </a:graphicData>
            </a:graphic>
          </wp:inline>
        </w:drawing>
      </w:r>
    </w:p>
    <w:p>
      <w:pPr>
        <w:spacing w:after="140"/>
        <w:jc w:val="center"/>
      </w:pPr>
      <w:r>
        <w:rPr>
          <w:b/>
          <w:sz w:val="19"/>
        </w:rPr>
        <w:t>图1 时间 周末和节假日效应的四联图</w:t>
      </w:r>
    </w:p>
    <w:p>
      <w:r>
        <w:t>图1先从四个角度观察日度投放数据。图A将各月平均广告投入和平均新增注册数标准化后绘制在同一坐标中，用于观察二者是否随月份同步变化；图B比较普通工作日与普通周末每千元投入带来的注册数；图C比较非节假日与法定节假日的每千元注册数；图D在控制前直观展示不同日期类型下广告投入对数与注册量对数之间的关系。</w:t>
      </w:r>
    </w:p>
    <w:p>
      <w:r>
        <w:t>从图A和图D可以看到，广告投入与注册量总体呈较明显的同步变化和正向关系。图B中，普通工作日平均每千元投入获得约73.6个注册，普通周末约为67.0个，周末比工作日低约9.0%，初步表现出周末下降现象。图C中，法定节假日平均每千元投入获得约81.0个注册，非节假日约为70.9个；这一未经控制的结果反而显示节假日较高。因此，时间、周末和节假日可能与注册效果有关，但效应方向需要进一步检验。</w:t>
      </w:r>
    </w:p>
    <w:p>
      <w:r>
        <w:t>需要强调的是，图B和图C属于未控制其他因素的描述性比较。法定节假日的柱形较高，并不等于“节假日本身提高了注册量”，因为假日样本可能集中在某些高效率月份，且投入结构、推广单元组合和市场需求同时发生变化。后文回归模型在控制广告投入和时间趋势后，节假日系数转为负值但不显著，说明描述性均值与净效应可能不同。因此，图形负责发现现象，最终判断应以回归系数和显著性检验为准。</w:t>
      </w:r>
    </w:p>
    <w:p>
      <w:pPr>
        <w:pStyle w:val="Heading1"/>
      </w:pPr>
      <w:r>
        <w:t>五 简化回归模型</w:t>
      </w:r>
    </w:p>
    <w:p>
      <w:pPr>
        <w:spacing w:before="100" w:after="140"/>
        <w:jc w:val="center"/>
      </w:pPr>
      <w:r>
        <w:rPr>
          <w:rFonts w:ascii="Cambria Math" w:hAnsi="Cambria Math" w:eastAsia="Cambria Math"/>
          <w:i/>
          <w:sz w:val="23"/>
        </w:rPr>
        <w:t>ln(Rₜ + 1) = β₀ + β₁ln(Cₜ + 1) + β₂Tₜ + β₃Wₜ + β₄Hₜ + εₜ</w:t>
      </w:r>
    </w:p>
    <w:tbl>
      <w:tblPr>
        <w:tblStyle w:val="TableGrid"/>
        <w:tblW w:type="auto" w:w="0"/>
        <w:jc w:val="center"/>
        <w:tblLook w:firstColumn="1" w:firstRow="1" w:lastColumn="0" w:lastRow="0" w:noHBand="0" w:noVBand="1" w:val="04A0"/>
      </w:tblPr>
      <w:tblGrid>
        <w:gridCol w:w="4997"/>
        <w:gridCol w:w="4997"/>
      </w:tblGrid>
      <w:tr>
        <w:tc>
          <w:tcPr>
            <w:tcW w:type="dxa" w:w="1944"/>
            <w:shd w:fill="1F4E78"/>
            <w:vAlign w:val="center"/>
            <w:tcMar>
              <w:top w:w="90" w:type="dxa"/>
              <w:start w:w="100" w:type="dxa"/>
              <w:bottom w:w="90" w:type="dxa"/>
              <w:end w:w="100" w:type="dxa"/>
            </w:tcMar>
          </w:tcPr>
          <w:p>
            <w:pPr>
              <w:jc w:val="center"/>
            </w:pPr>
            <w:r>
              <w:rPr>
                <w:b/>
                <w:color w:val="FFFFFF"/>
                <w:sz w:val="19"/>
              </w:rPr>
              <w:t>符号</w:t>
            </w:r>
          </w:p>
        </w:tc>
        <w:tc>
          <w:tcPr>
            <w:tcW w:type="dxa" w:w="7704"/>
            <w:shd w:fill="1F4E78"/>
            <w:vAlign w:val="center"/>
            <w:tcMar>
              <w:top w:w="90" w:type="dxa"/>
              <w:start w:w="100" w:type="dxa"/>
              <w:bottom w:w="90" w:type="dxa"/>
              <w:end w:w="100" w:type="dxa"/>
            </w:tcMar>
          </w:tcPr>
          <w:p>
            <w:pPr>
              <w:jc w:val="center"/>
            </w:pPr>
            <w:r>
              <w:rPr>
                <w:b/>
                <w:color w:val="FFFFFF"/>
                <w:sz w:val="19"/>
              </w:rPr>
              <w:t>解释</w:t>
            </w:r>
          </w:p>
        </w:tc>
      </w:tr>
      <w:tr>
        <w:tc>
          <w:tcPr>
            <w:tcW w:type="dxa" w:w="1944"/>
            <w:vAlign w:val="center"/>
            <w:tcMar>
              <w:top w:w="90" w:type="dxa"/>
              <w:start w:w="100" w:type="dxa"/>
              <w:bottom w:w="90" w:type="dxa"/>
              <w:end w:w="100" w:type="dxa"/>
            </w:tcMar>
          </w:tcPr>
          <w:p>
            <w:pPr>
              <w:jc w:val="center"/>
            </w:pPr>
            <w:r>
              <w:rPr>
                <w:rFonts w:ascii="宋体" w:hAnsi="宋体" w:eastAsia="宋体"/>
                <w:sz w:val="19"/>
              </w:rPr>
              <w:t>Rₜ</w:t>
            </w:r>
          </w:p>
        </w:tc>
        <w:tc>
          <w:tcPr>
            <w:tcW w:type="dxa" w:w="7704"/>
            <w:vAlign w:val="center"/>
            <w:tcMar>
              <w:top w:w="90" w:type="dxa"/>
              <w:start w:w="100" w:type="dxa"/>
              <w:bottom w:w="90" w:type="dxa"/>
              <w:end w:w="100" w:type="dxa"/>
            </w:tcMar>
          </w:tcPr>
          <w:p>
            <w:pPr>
              <w:jc w:val="center"/>
            </w:pPr>
            <w:r>
              <w:rPr>
                <w:rFonts w:ascii="宋体" w:hAnsi="宋体" w:eastAsia="宋体"/>
                <w:sz w:val="19"/>
              </w:rPr>
              <w:t>第t天新增注册数</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Cₜ</w:t>
            </w:r>
          </w:p>
        </w:tc>
        <w:tc>
          <w:tcPr>
            <w:tcW w:type="dxa" w:w="7704"/>
            <w:vAlign w:val="center"/>
            <w:tcMar>
              <w:top w:w="90" w:type="dxa"/>
              <w:start w:w="100" w:type="dxa"/>
              <w:bottom w:w="90" w:type="dxa"/>
              <w:end w:w="100" w:type="dxa"/>
            </w:tcMar>
            <w:shd w:fill="F3F7FA"/>
          </w:tcPr>
          <w:p>
            <w:pPr>
              <w:jc w:val="center"/>
            </w:pPr>
            <w:r>
              <w:rPr>
                <w:rFonts w:ascii="宋体" w:hAnsi="宋体" w:eastAsia="宋体"/>
                <w:sz w:val="19"/>
              </w:rPr>
              <w:t>第t天广告消费额</w:t>
            </w:r>
          </w:p>
        </w:tc>
      </w:tr>
      <w:tr>
        <w:tc>
          <w:tcPr>
            <w:tcW w:type="dxa" w:w="1944"/>
            <w:vAlign w:val="center"/>
            <w:tcMar>
              <w:top w:w="90" w:type="dxa"/>
              <w:start w:w="100" w:type="dxa"/>
              <w:bottom w:w="90" w:type="dxa"/>
              <w:end w:w="100" w:type="dxa"/>
            </w:tcMar>
          </w:tcPr>
          <w:p>
            <w:pPr>
              <w:jc w:val="center"/>
            </w:pPr>
            <w:r>
              <w:rPr>
                <w:rFonts w:ascii="宋体" w:hAnsi="宋体" w:eastAsia="宋体"/>
                <w:sz w:val="19"/>
              </w:rPr>
              <w:t>Tₜ</w:t>
            </w:r>
          </w:p>
        </w:tc>
        <w:tc>
          <w:tcPr>
            <w:tcW w:type="dxa" w:w="7704"/>
            <w:vAlign w:val="center"/>
            <w:tcMar>
              <w:top w:w="90" w:type="dxa"/>
              <w:start w:w="100" w:type="dxa"/>
              <w:bottom w:w="90" w:type="dxa"/>
              <w:end w:w="100" w:type="dxa"/>
            </w:tcMar>
          </w:tcPr>
          <w:p>
            <w:pPr>
              <w:jc w:val="center"/>
            </w:pPr>
            <w:r>
              <w:rPr>
                <w:rFonts w:ascii="宋体" w:hAnsi="宋体" w:eastAsia="宋体"/>
                <w:sz w:val="19"/>
              </w:rPr>
              <w:t>第t天的时间序号</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Wₜ</w:t>
            </w:r>
          </w:p>
        </w:tc>
        <w:tc>
          <w:tcPr>
            <w:tcW w:type="dxa" w:w="7704"/>
            <w:vAlign w:val="center"/>
            <w:tcMar>
              <w:top w:w="90" w:type="dxa"/>
              <w:start w:w="100" w:type="dxa"/>
              <w:bottom w:w="90" w:type="dxa"/>
              <w:end w:w="100" w:type="dxa"/>
            </w:tcMar>
            <w:shd w:fill="F3F7FA"/>
          </w:tcPr>
          <w:p>
            <w:pPr>
              <w:jc w:val="center"/>
            </w:pPr>
            <w:r>
              <w:rPr>
                <w:rFonts w:ascii="宋体" w:hAnsi="宋体" w:eastAsia="宋体"/>
                <w:sz w:val="19"/>
              </w:rPr>
              <w:t>周末虚拟变量</w:t>
            </w:r>
          </w:p>
        </w:tc>
      </w:tr>
      <w:tr>
        <w:tc>
          <w:tcPr>
            <w:tcW w:type="dxa" w:w="1944"/>
            <w:vAlign w:val="center"/>
            <w:tcMar>
              <w:top w:w="90" w:type="dxa"/>
              <w:start w:w="100" w:type="dxa"/>
              <w:bottom w:w="90" w:type="dxa"/>
              <w:end w:w="100" w:type="dxa"/>
            </w:tcMar>
          </w:tcPr>
          <w:p>
            <w:pPr>
              <w:jc w:val="center"/>
            </w:pPr>
            <w:r>
              <w:rPr>
                <w:rFonts w:ascii="宋体" w:hAnsi="宋体" w:eastAsia="宋体"/>
                <w:sz w:val="19"/>
              </w:rPr>
              <w:t>Hₜ</w:t>
            </w:r>
          </w:p>
        </w:tc>
        <w:tc>
          <w:tcPr>
            <w:tcW w:type="dxa" w:w="7704"/>
            <w:vAlign w:val="center"/>
            <w:tcMar>
              <w:top w:w="90" w:type="dxa"/>
              <w:start w:w="100" w:type="dxa"/>
              <w:bottom w:w="90" w:type="dxa"/>
              <w:end w:w="100" w:type="dxa"/>
            </w:tcMar>
          </w:tcPr>
          <w:p>
            <w:pPr>
              <w:jc w:val="center"/>
            </w:pPr>
            <w:r>
              <w:rPr>
                <w:rFonts w:ascii="宋体" w:hAnsi="宋体" w:eastAsia="宋体"/>
                <w:sz w:val="19"/>
              </w:rPr>
              <w:t>法定节假日虚拟变量</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β₀</w:t>
            </w:r>
          </w:p>
        </w:tc>
        <w:tc>
          <w:tcPr>
            <w:tcW w:type="dxa" w:w="7704"/>
            <w:vAlign w:val="center"/>
            <w:tcMar>
              <w:top w:w="90" w:type="dxa"/>
              <w:start w:w="100" w:type="dxa"/>
              <w:bottom w:w="90" w:type="dxa"/>
              <w:end w:w="100" w:type="dxa"/>
            </w:tcMar>
            <w:shd w:fill="F3F7FA"/>
          </w:tcPr>
          <w:p>
            <w:pPr>
              <w:jc w:val="center"/>
            </w:pPr>
            <w:r>
              <w:rPr>
                <w:rFonts w:ascii="宋体" w:hAnsi="宋体" w:eastAsia="宋体"/>
                <w:sz w:val="19"/>
              </w:rPr>
              <w:t>常数项</w:t>
            </w:r>
          </w:p>
        </w:tc>
      </w:tr>
      <w:tr>
        <w:tc>
          <w:tcPr>
            <w:tcW w:type="dxa" w:w="1944"/>
            <w:vAlign w:val="center"/>
            <w:tcMar>
              <w:top w:w="90" w:type="dxa"/>
              <w:start w:w="100" w:type="dxa"/>
              <w:bottom w:w="90" w:type="dxa"/>
              <w:end w:w="100" w:type="dxa"/>
            </w:tcMar>
          </w:tcPr>
          <w:p>
            <w:pPr>
              <w:jc w:val="center"/>
            </w:pPr>
            <w:r>
              <w:rPr>
                <w:rFonts w:ascii="宋体" w:hAnsi="宋体" w:eastAsia="宋体"/>
                <w:sz w:val="19"/>
              </w:rPr>
              <w:t>β₁</w:t>
            </w:r>
          </w:p>
        </w:tc>
        <w:tc>
          <w:tcPr>
            <w:tcW w:type="dxa" w:w="7704"/>
            <w:vAlign w:val="center"/>
            <w:tcMar>
              <w:top w:w="90" w:type="dxa"/>
              <w:start w:w="100" w:type="dxa"/>
              <w:bottom w:w="90" w:type="dxa"/>
              <w:end w:w="100" w:type="dxa"/>
            </w:tcMar>
          </w:tcPr>
          <w:p>
            <w:pPr>
              <w:jc w:val="center"/>
            </w:pPr>
            <w:r>
              <w:rPr>
                <w:rFonts w:ascii="宋体" w:hAnsi="宋体" w:eastAsia="宋体"/>
                <w:sz w:val="19"/>
              </w:rPr>
              <w:t>投入弹性</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β₂</w:t>
            </w:r>
          </w:p>
        </w:tc>
        <w:tc>
          <w:tcPr>
            <w:tcW w:type="dxa" w:w="7704"/>
            <w:vAlign w:val="center"/>
            <w:tcMar>
              <w:top w:w="90" w:type="dxa"/>
              <w:start w:w="100" w:type="dxa"/>
              <w:bottom w:w="90" w:type="dxa"/>
              <w:end w:w="100" w:type="dxa"/>
            </w:tcMar>
            <w:shd w:fill="F3F7FA"/>
          </w:tcPr>
          <w:p>
            <w:pPr>
              <w:jc w:val="center"/>
            </w:pPr>
            <w:r>
              <w:rPr>
                <w:rFonts w:ascii="宋体" w:hAnsi="宋体" w:eastAsia="宋体"/>
                <w:sz w:val="19"/>
              </w:rPr>
              <w:t>日均时间趋势</w:t>
            </w:r>
          </w:p>
        </w:tc>
      </w:tr>
      <w:tr>
        <w:tc>
          <w:tcPr>
            <w:tcW w:type="dxa" w:w="1944"/>
            <w:vAlign w:val="center"/>
            <w:tcMar>
              <w:top w:w="90" w:type="dxa"/>
              <w:start w:w="100" w:type="dxa"/>
              <w:bottom w:w="90" w:type="dxa"/>
              <w:end w:w="100" w:type="dxa"/>
            </w:tcMar>
          </w:tcPr>
          <w:p>
            <w:pPr>
              <w:jc w:val="center"/>
            </w:pPr>
            <w:r>
              <w:rPr>
                <w:rFonts w:ascii="宋体" w:hAnsi="宋体" w:eastAsia="宋体"/>
                <w:sz w:val="19"/>
              </w:rPr>
              <w:t>β₃</w:t>
            </w:r>
          </w:p>
        </w:tc>
        <w:tc>
          <w:tcPr>
            <w:tcW w:type="dxa" w:w="7704"/>
            <w:vAlign w:val="center"/>
            <w:tcMar>
              <w:top w:w="90" w:type="dxa"/>
              <w:start w:w="100" w:type="dxa"/>
              <w:bottom w:w="90" w:type="dxa"/>
              <w:end w:w="100" w:type="dxa"/>
            </w:tcMar>
          </w:tcPr>
          <w:p>
            <w:pPr>
              <w:jc w:val="center"/>
            </w:pPr>
            <w:r>
              <w:rPr>
                <w:rFonts w:ascii="宋体" w:hAnsi="宋体" w:eastAsia="宋体"/>
                <w:sz w:val="19"/>
              </w:rPr>
              <w:t>控制其他因素后的周末净效应</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β₄</w:t>
            </w:r>
          </w:p>
        </w:tc>
        <w:tc>
          <w:tcPr>
            <w:tcW w:type="dxa" w:w="7704"/>
            <w:vAlign w:val="center"/>
            <w:tcMar>
              <w:top w:w="90" w:type="dxa"/>
              <w:start w:w="100" w:type="dxa"/>
              <w:bottom w:w="90" w:type="dxa"/>
              <w:end w:w="100" w:type="dxa"/>
            </w:tcMar>
            <w:shd w:fill="F3F7FA"/>
          </w:tcPr>
          <w:p>
            <w:pPr>
              <w:jc w:val="center"/>
            </w:pPr>
            <w:r>
              <w:rPr>
                <w:rFonts w:ascii="宋体" w:hAnsi="宋体" w:eastAsia="宋体"/>
                <w:sz w:val="19"/>
              </w:rPr>
              <w:t>控制其他因素后的节假日净效应</w:t>
            </w:r>
          </w:p>
        </w:tc>
      </w:tr>
      <w:tr>
        <w:tc>
          <w:tcPr>
            <w:tcW w:type="dxa" w:w="1944"/>
            <w:vAlign w:val="center"/>
            <w:tcMar>
              <w:top w:w="90" w:type="dxa"/>
              <w:start w:w="100" w:type="dxa"/>
              <w:bottom w:w="90" w:type="dxa"/>
              <w:end w:w="100" w:type="dxa"/>
            </w:tcMar>
          </w:tcPr>
          <w:p>
            <w:pPr>
              <w:jc w:val="center"/>
            </w:pPr>
            <w:r>
              <w:rPr>
                <w:rFonts w:ascii="宋体" w:hAnsi="宋体" w:eastAsia="宋体"/>
                <w:sz w:val="19"/>
              </w:rPr>
              <w:t>εₜ</w:t>
            </w:r>
          </w:p>
        </w:tc>
        <w:tc>
          <w:tcPr>
            <w:tcW w:type="dxa" w:w="7704"/>
            <w:vAlign w:val="center"/>
            <w:tcMar>
              <w:top w:w="90" w:type="dxa"/>
              <w:start w:w="100" w:type="dxa"/>
              <w:bottom w:w="90" w:type="dxa"/>
              <w:end w:w="100" w:type="dxa"/>
            </w:tcMar>
          </w:tcPr>
          <w:p>
            <w:pPr>
              <w:jc w:val="center"/>
            </w:pPr>
            <w:r>
              <w:rPr>
                <w:rFonts w:ascii="宋体" w:hAnsi="宋体" w:eastAsia="宋体"/>
                <w:sz w:val="19"/>
              </w:rPr>
              <w:t>未被模型解释的随机影响</w:t>
            </w:r>
          </w:p>
        </w:tc>
      </w:tr>
    </w:tbl>
    <w:p>
      <w:pPr>
        <w:spacing w:after="20"/>
      </w:pPr>
    </w:p>
    <w:p>
      <w:r>
        <w:t>对注册量和消费额采用ln(x+1)变换，一方面避免零值无法取对数，另一方面减弱高投入日期和高注册日期对估计结果的过度影响。</w:t>
      </w:r>
    </w:p>
    <w:p>
      <w:pPr>
        <w:pStyle w:val="Heading1"/>
      </w:pPr>
      <w:r>
        <w:t>六 模型求解方法</w:t>
      </w:r>
    </w:p>
    <w:p>
      <w:r>
        <w:t>将365天数据写成矩阵形式：</w:t>
      </w:r>
    </w:p>
    <w:p>
      <w:pPr>
        <w:spacing w:before="100" w:after="140"/>
        <w:jc w:val="center"/>
      </w:pPr>
      <w:r>
        <w:rPr>
          <w:rFonts w:ascii="Cambria Math" w:hAnsi="Cambria Math" w:eastAsia="Cambria Math"/>
          <w:i/>
          <w:sz w:val="23"/>
        </w:rPr>
        <w:t>Y = Xβ + ε</w:t>
      </w:r>
    </w:p>
    <w:p>
      <w:r>
        <w:t>采用普通最小二乘法，使残差平方和最小：</w:t>
      </w:r>
    </w:p>
    <w:p>
      <w:pPr>
        <w:spacing w:before="100" w:after="140"/>
        <w:jc w:val="center"/>
      </w:pPr>
      <w:r>
        <w:rPr>
          <w:rFonts w:ascii="Cambria Math" w:hAnsi="Cambria Math" w:eastAsia="Cambria Math"/>
          <w:i/>
          <w:sz w:val="23"/>
        </w:rPr>
        <w:t>min Σₜ [Yₜ − (β₀ + β₁X₁ₜ + β₂X₂ₜ + β₃X₃ₜ + β₄X₄ₜ)]²</w:t>
      </w:r>
    </w:p>
    <w:p>
      <w:r>
        <w:t>回归系数的估计为：</w:t>
      </w:r>
    </w:p>
    <w:p>
      <w:pPr>
        <w:spacing w:before="100" w:after="140"/>
        <w:jc w:val="center"/>
      </w:pPr>
      <w:r>
        <w:rPr>
          <w:rFonts w:ascii="Cambria Math" w:hAnsi="Cambria Math" w:eastAsia="Cambria Math"/>
          <w:i/>
          <w:sz w:val="23"/>
        </w:rPr>
        <w:t>β̂ = (XᵀX)⁻¹XᵀY</w:t>
      </w:r>
    </w:p>
    <w:p>
      <w:r>
        <w:t>Excel、SPSS或Python均可直接完成求解。考虑到日度数据残差可能存在异方差和短期自相关，本文在系数不变的基础上报告Newey-West稳健标准误，滞后阶数取7天，以覆盖一个完整星期周期。该修正只影响显著性检验，不改变回归系数和预测值。</w:t>
      </w:r>
    </w:p>
    <w:p>
      <w:pPr>
        <w:pStyle w:val="Heading1"/>
      </w:pPr>
      <w:r>
        <w:t>七 重新拟合后的主要结果</w:t>
      </w:r>
    </w:p>
    <w:p>
      <w:pPr>
        <w:spacing w:before="100" w:after="140"/>
        <w:jc w:val="center"/>
      </w:pPr>
      <w:r>
        <w:rPr>
          <w:rFonts w:ascii="Cambria Math" w:hAnsi="Cambria Math" w:eastAsia="Cambria Math"/>
          <w:i/>
          <w:sz w:val="23"/>
        </w:rPr>
        <w:t>ln(Rₜ+1) = −0.6546 + 0.7387ln(Cₜ+1) + 0.000151Tₜ − 0.0778Wₜ − 0.1641Hₜ</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944"/>
            <w:shd w:fill="1F4E78"/>
            <w:vAlign w:val="center"/>
            <w:tcMar>
              <w:top w:w="90" w:type="dxa"/>
              <w:start w:w="100" w:type="dxa"/>
              <w:bottom w:w="90" w:type="dxa"/>
              <w:end w:w="100" w:type="dxa"/>
            </w:tcMar>
          </w:tcPr>
          <w:p>
            <w:pPr>
              <w:jc w:val="center"/>
            </w:pPr>
            <w:r>
              <w:rPr>
                <w:b/>
                <w:color w:val="FFFFFF"/>
                <w:sz w:val="19"/>
              </w:rPr>
              <w:t>变量</w:t>
            </w:r>
          </w:p>
        </w:tc>
        <w:tc>
          <w:tcPr>
            <w:tcW w:type="dxa" w:w="1152"/>
            <w:shd w:fill="1F4E78"/>
            <w:vAlign w:val="center"/>
            <w:tcMar>
              <w:top w:w="90" w:type="dxa"/>
              <w:start w:w="100" w:type="dxa"/>
              <w:bottom w:w="90" w:type="dxa"/>
              <w:end w:w="100" w:type="dxa"/>
            </w:tcMar>
          </w:tcPr>
          <w:p>
            <w:pPr>
              <w:jc w:val="center"/>
            </w:pPr>
            <w:r>
              <w:rPr>
                <w:b/>
                <w:color w:val="FFFFFF"/>
                <w:sz w:val="19"/>
              </w:rPr>
              <w:t>系数</w:t>
            </w:r>
          </w:p>
        </w:tc>
        <w:tc>
          <w:tcPr>
            <w:tcW w:type="dxa" w:w="1656"/>
            <w:shd w:fill="1F4E78"/>
            <w:vAlign w:val="center"/>
            <w:tcMar>
              <w:top w:w="90" w:type="dxa"/>
              <w:start w:w="100" w:type="dxa"/>
              <w:bottom w:w="90" w:type="dxa"/>
              <w:end w:w="100" w:type="dxa"/>
            </w:tcMar>
          </w:tcPr>
          <w:p>
            <w:pPr>
              <w:jc w:val="center"/>
            </w:pPr>
            <w:r>
              <w:rPr>
                <w:b/>
                <w:color w:val="FFFFFF"/>
                <w:sz w:val="19"/>
              </w:rPr>
              <w:t>稳健标准误</w:t>
            </w:r>
          </w:p>
        </w:tc>
        <w:tc>
          <w:tcPr>
            <w:tcW w:type="dxa" w:w="1080"/>
            <w:shd w:fill="1F4E78"/>
            <w:vAlign w:val="center"/>
            <w:tcMar>
              <w:top w:w="90" w:type="dxa"/>
              <w:start w:w="100" w:type="dxa"/>
              <w:bottom w:w="90" w:type="dxa"/>
              <w:end w:w="100" w:type="dxa"/>
            </w:tcMar>
          </w:tcPr>
          <w:p>
            <w:pPr>
              <w:jc w:val="center"/>
            </w:pPr>
            <w:r>
              <w:rPr>
                <w:b/>
                <w:color w:val="FFFFFF"/>
                <w:sz w:val="19"/>
              </w:rPr>
              <w:t>t值</w:t>
            </w:r>
          </w:p>
        </w:tc>
        <w:tc>
          <w:tcPr>
            <w:tcW w:type="dxa" w:w="1080"/>
            <w:shd w:fill="1F4E78"/>
            <w:vAlign w:val="center"/>
            <w:tcMar>
              <w:top w:w="90" w:type="dxa"/>
              <w:start w:w="100" w:type="dxa"/>
              <w:bottom w:w="90" w:type="dxa"/>
              <w:end w:w="100" w:type="dxa"/>
            </w:tcMar>
          </w:tcPr>
          <w:p>
            <w:pPr>
              <w:jc w:val="center"/>
            </w:pPr>
            <w:r>
              <w:rPr>
                <w:b/>
                <w:color w:val="FFFFFF"/>
                <w:sz w:val="19"/>
              </w:rPr>
              <w:t>p值</w:t>
            </w:r>
          </w:p>
        </w:tc>
        <w:tc>
          <w:tcPr>
            <w:tcW w:type="dxa" w:w="1296"/>
            <w:shd w:fill="1F4E78"/>
            <w:vAlign w:val="center"/>
            <w:tcMar>
              <w:top w:w="90" w:type="dxa"/>
              <w:start w:w="100" w:type="dxa"/>
              <w:bottom w:w="90" w:type="dxa"/>
              <w:end w:w="100" w:type="dxa"/>
            </w:tcMar>
          </w:tcPr>
          <w:p>
            <w:pPr>
              <w:jc w:val="center"/>
            </w:pPr>
            <w:r>
              <w:rPr>
                <w:b/>
                <w:color w:val="FFFFFF"/>
                <w:sz w:val="19"/>
              </w:rPr>
              <w:t>5%判断</w:t>
            </w:r>
          </w:p>
        </w:tc>
      </w:tr>
      <w:tr>
        <w:tc>
          <w:tcPr>
            <w:tcW w:type="dxa" w:w="1944"/>
            <w:vAlign w:val="center"/>
            <w:tcMar>
              <w:top w:w="90" w:type="dxa"/>
              <w:start w:w="100" w:type="dxa"/>
              <w:bottom w:w="90" w:type="dxa"/>
              <w:end w:w="100" w:type="dxa"/>
            </w:tcMar>
          </w:tcPr>
          <w:p>
            <w:pPr>
              <w:jc w:val="center"/>
            </w:pPr>
            <w:r>
              <w:rPr>
                <w:rFonts w:ascii="宋体" w:hAnsi="宋体" w:eastAsia="宋体"/>
                <w:sz w:val="19"/>
              </w:rPr>
              <w:t>常数项</w:t>
            </w:r>
          </w:p>
        </w:tc>
        <w:tc>
          <w:tcPr>
            <w:tcW w:type="dxa" w:w="1152"/>
            <w:vAlign w:val="center"/>
            <w:tcMar>
              <w:top w:w="90" w:type="dxa"/>
              <w:start w:w="100" w:type="dxa"/>
              <w:bottom w:w="90" w:type="dxa"/>
              <w:end w:w="100" w:type="dxa"/>
            </w:tcMar>
          </w:tcPr>
          <w:p>
            <w:pPr>
              <w:jc w:val="center"/>
            </w:pPr>
            <w:r>
              <w:rPr>
                <w:rFonts w:ascii="宋体" w:hAnsi="宋体" w:eastAsia="宋体"/>
                <w:sz w:val="19"/>
              </w:rPr>
              <w:t>-0.6546</w:t>
            </w:r>
          </w:p>
        </w:tc>
        <w:tc>
          <w:tcPr>
            <w:tcW w:type="dxa" w:w="1656"/>
            <w:vAlign w:val="center"/>
            <w:tcMar>
              <w:top w:w="90" w:type="dxa"/>
              <w:start w:w="100" w:type="dxa"/>
              <w:bottom w:w="90" w:type="dxa"/>
              <w:end w:w="100" w:type="dxa"/>
            </w:tcMar>
          </w:tcPr>
          <w:p>
            <w:pPr>
              <w:jc w:val="left"/>
            </w:pPr>
            <w:r>
              <w:rPr>
                <w:rFonts w:ascii="宋体" w:hAnsi="宋体" w:eastAsia="宋体"/>
                <w:sz w:val="19"/>
              </w:rPr>
              <w:t>0.6297</w:t>
            </w:r>
          </w:p>
        </w:tc>
        <w:tc>
          <w:tcPr>
            <w:tcW w:type="dxa" w:w="1080"/>
            <w:vAlign w:val="center"/>
            <w:tcMar>
              <w:top w:w="90" w:type="dxa"/>
              <w:start w:w="100" w:type="dxa"/>
              <w:bottom w:w="90" w:type="dxa"/>
              <w:end w:w="100" w:type="dxa"/>
            </w:tcMar>
          </w:tcPr>
          <w:p>
            <w:pPr>
              <w:jc w:val="left"/>
            </w:pPr>
            <w:r>
              <w:rPr>
                <w:rFonts w:ascii="宋体" w:hAnsi="宋体" w:eastAsia="宋体"/>
                <w:sz w:val="19"/>
              </w:rPr>
              <w:t>-1.039</w:t>
            </w:r>
          </w:p>
        </w:tc>
        <w:tc>
          <w:tcPr>
            <w:tcW w:type="dxa" w:w="1080"/>
            <w:vAlign w:val="center"/>
            <w:tcMar>
              <w:top w:w="90" w:type="dxa"/>
              <w:start w:w="100" w:type="dxa"/>
              <w:bottom w:w="90" w:type="dxa"/>
              <w:end w:w="100" w:type="dxa"/>
            </w:tcMar>
          </w:tcPr>
          <w:p>
            <w:pPr>
              <w:jc w:val="left"/>
            </w:pPr>
            <w:r>
              <w:rPr>
                <w:rFonts w:ascii="宋体" w:hAnsi="宋体" w:eastAsia="宋体"/>
                <w:sz w:val="19"/>
              </w:rPr>
              <w:t>0.299</w:t>
            </w:r>
          </w:p>
        </w:tc>
        <w:tc>
          <w:tcPr>
            <w:tcW w:type="dxa" w:w="1296"/>
            <w:vAlign w:val="center"/>
            <w:tcMar>
              <w:top w:w="90" w:type="dxa"/>
              <w:start w:w="100" w:type="dxa"/>
              <w:bottom w:w="90" w:type="dxa"/>
              <w:end w:w="100" w:type="dxa"/>
            </w:tcMar>
          </w:tcPr>
          <w:p>
            <w:pPr>
              <w:jc w:val="left"/>
            </w:pPr>
            <w:r>
              <w:rPr>
                <w:rFonts w:ascii="宋体" w:hAnsi="宋体" w:eastAsia="宋体"/>
                <w:sz w:val="19"/>
              </w:rPr>
              <w:t>不显著</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广告投入对数</w:t>
            </w:r>
          </w:p>
        </w:tc>
        <w:tc>
          <w:tcPr>
            <w:tcW w:type="dxa" w:w="1152"/>
            <w:vAlign w:val="center"/>
            <w:tcMar>
              <w:top w:w="90" w:type="dxa"/>
              <w:start w:w="100" w:type="dxa"/>
              <w:bottom w:w="90" w:type="dxa"/>
              <w:end w:w="100" w:type="dxa"/>
            </w:tcMar>
            <w:shd w:fill="F3F7FA"/>
          </w:tcPr>
          <w:p>
            <w:pPr>
              <w:jc w:val="center"/>
            </w:pPr>
            <w:r>
              <w:rPr>
                <w:rFonts w:ascii="宋体" w:hAnsi="宋体" w:eastAsia="宋体"/>
                <w:sz w:val="19"/>
              </w:rPr>
              <w:t>0.7387</w:t>
            </w:r>
          </w:p>
        </w:tc>
        <w:tc>
          <w:tcPr>
            <w:tcW w:type="dxa" w:w="1656"/>
            <w:vAlign w:val="center"/>
            <w:tcMar>
              <w:top w:w="90" w:type="dxa"/>
              <w:start w:w="100" w:type="dxa"/>
              <w:bottom w:w="90" w:type="dxa"/>
              <w:end w:w="100" w:type="dxa"/>
            </w:tcMar>
            <w:shd w:fill="F3F7FA"/>
          </w:tcPr>
          <w:p>
            <w:pPr>
              <w:jc w:val="left"/>
            </w:pPr>
            <w:r>
              <w:rPr>
                <w:rFonts w:ascii="宋体" w:hAnsi="宋体" w:eastAsia="宋体"/>
                <w:sz w:val="19"/>
              </w:rPr>
              <w:t>0.0723</w:t>
            </w:r>
          </w:p>
        </w:tc>
        <w:tc>
          <w:tcPr>
            <w:tcW w:type="dxa" w:w="1080"/>
            <w:vAlign w:val="center"/>
            <w:tcMar>
              <w:top w:w="90" w:type="dxa"/>
              <w:start w:w="100" w:type="dxa"/>
              <w:bottom w:w="90" w:type="dxa"/>
              <w:end w:w="100" w:type="dxa"/>
            </w:tcMar>
            <w:shd w:fill="F3F7FA"/>
          </w:tcPr>
          <w:p>
            <w:pPr>
              <w:jc w:val="left"/>
            </w:pPr>
            <w:r>
              <w:rPr>
                <w:rFonts w:ascii="宋体" w:hAnsi="宋体" w:eastAsia="宋体"/>
                <w:sz w:val="19"/>
              </w:rPr>
              <w:t>10.221</w:t>
            </w:r>
          </w:p>
        </w:tc>
        <w:tc>
          <w:tcPr>
            <w:tcW w:type="dxa" w:w="1080"/>
            <w:vAlign w:val="center"/>
            <w:tcMar>
              <w:top w:w="90" w:type="dxa"/>
              <w:start w:w="100" w:type="dxa"/>
              <w:bottom w:w="90" w:type="dxa"/>
              <w:end w:w="100" w:type="dxa"/>
            </w:tcMar>
            <w:shd w:fill="F3F7FA"/>
          </w:tcPr>
          <w:p>
            <w:pPr>
              <w:jc w:val="left"/>
            </w:pPr>
            <w:r>
              <w:rPr>
                <w:rFonts w:ascii="宋体" w:hAnsi="宋体" w:eastAsia="宋体"/>
                <w:sz w:val="19"/>
              </w:rPr>
              <w:t>&lt;0.001</w:t>
            </w:r>
          </w:p>
        </w:tc>
        <w:tc>
          <w:tcPr>
            <w:tcW w:type="dxa" w:w="1296"/>
            <w:vAlign w:val="center"/>
            <w:tcMar>
              <w:top w:w="90" w:type="dxa"/>
              <w:start w:w="100" w:type="dxa"/>
              <w:bottom w:w="90" w:type="dxa"/>
              <w:end w:w="100" w:type="dxa"/>
            </w:tcMar>
            <w:shd w:fill="F3F7FA"/>
          </w:tcPr>
          <w:p>
            <w:pPr>
              <w:jc w:val="left"/>
            </w:pPr>
            <w:r>
              <w:rPr>
                <w:rFonts w:ascii="宋体" w:hAnsi="宋体" w:eastAsia="宋体"/>
                <w:sz w:val="19"/>
              </w:rPr>
              <w:t>显著</w:t>
            </w:r>
          </w:p>
        </w:tc>
      </w:tr>
      <w:tr>
        <w:tc>
          <w:tcPr>
            <w:tcW w:type="dxa" w:w="1944"/>
            <w:vAlign w:val="center"/>
            <w:tcMar>
              <w:top w:w="90" w:type="dxa"/>
              <w:start w:w="100" w:type="dxa"/>
              <w:bottom w:w="90" w:type="dxa"/>
              <w:end w:w="100" w:type="dxa"/>
            </w:tcMar>
          </w:tcPr>
          <w:p>
            <w:pPr>
              <w:jc w:val="center"/>
            </w:pPr>
            <w:r>
              <w:rPr>
                <w:rFonts w:ascii="宋体" w:hAnsi="宋体" w:eastAsia="宋体"/>
                <w:sz w:val="19"/>
              </w:rPr>
              <w:t>时间趋势</w:t>
            </w:r>
          </w:p>
        </w:tc>
        <w:tc>
          <w:tcPr>
            <w:tcW w:type="dxa" w:w="1152"/>
            <w:vAlign w:val="center"/>
            <w:tcMar>
              <w:top w:w="90" w:type="dxa"/>
              <w:start w:w="100" w:type="dxa"/>
              <w:bottom w:w="90" w:type="dxa"/>
              <w:end w:w="100" w:type="dxa"/>
            </w:tcMar>
          </w:tcPr>
          <w:p>
            <w:pPr>
              <w:jc w:val="center"/>
            </w:pPr>
            <w:r>
              <w:rPr>
                <w:rFonts w:ascii="宋体" w:hAnsi="宋体" w:eastAsia="宋体"/>
                <w:sz w:val="19"/>
              </w:rPr>
              <w:t>0.0002</w:t>
            </w:r>
          </w:p>
        </w:tc>
        <w:tc>
          <w:tcPr>
            <w:tcW w:type="dxa" w:w="1656"/>
            <w:vAlign w:val="center"/>
            <w:tcMar>
              <w:top w:w="90" w:type="dxa"/>
              <w:start w:w="100" w:type="dxa"/>
              <w:bottom w:w="90" w:type="dxa"/>
              <w:end w:w="100" w:type="dxa"/>
            </w:tcMar>
          </w:tcPr>
          <w:p>
            <w:pPr>
              <w:jc w:val="left"/>
            </w:pPr>
            <w:r>
              <w:rPr>
                <w:rFonts w:ascii="宋体" w:hAnsi="宋体" w:eastAsia="宋体"/>
                <w:sz w:val="19"/>
              </w:rPr>
              <w:t>0.0004</w:t>
            </w:r>
          </w:p>
        </w:tc>
        <w:tc>
          <w:tcPr>
            <w:tcW w:type="dxa" w:w="1080"/>
            <w:vAlign w:val="center"/>
            <w:tcMar>
              <w:top w:w="90" w:type="dxa"/>
              <w:start w:w="100" w:type="dxa"/>
              <w:bottom w:w="90" w:type="dxa"/>
              <w:end w:w="100" w:type="dxa"/>
            </w:tcMar>
          </w:tcPr>
          <w:p>
            <w:pPr>
              <w:jc w:val="left"/>
            </w:pPr>
            <w:r>
              <w:rPr>
                <w:rFonts w:ascii="宋体" w:hAnsi="宋体" w:eastAsia="宋体"/>
                <w:sz w:val="19"/>
              </w:rPr>
              <w:t>0.426</w:t>
            </w:r>
          </w:p>
        </w:tc>
        <w:tc>
          <w:tcPr>
            <w:tcW w:type="dxa" w:w="1080"/>
            <w:vAlign w:val="center"/>
            <w:tcMar>
              <w:top w:w="90" w:type="dxa"/>
              <w:start w:w="100" w:type="dxa"/>
              <w:bottom w:w="90" w:type="dxa"/>
              <w:end w:w="100" w:type="dxa"/>
            </w:tcMar>
          </w:tcPr>
          <w:p>
            <w:pPr>
              <w:jc w:val="left"/>
            </w:pPr>
            <w:r>
              <w:rPr>
                <w:rFonts w:ascii="宋体" w:hAnsi="宋体" w:eastAsia="宋体"/>
                <w:sz w:val="19"/>
              </w:rPr>
              <w:t>0.670</w:t>
            </w:r>
          </w:p>
        </w:tc>
        <w:tc>
          <w:tcPr>
            <w:tcW w:type="dxa" w:w="1296"/>
            <w:vAlign w:val="center"/>
            <w:tcMar>
              <w:top w:w="90" w:type="dxa"/>
              <w:start w:w="100" w:type="dxa"/>
              <w:bottom w:w="90" w:type="dxa"/>
              <w:end w:w="100" w:type="dxa"/>
            </w:tcMar>
          </w:tcPr>
          <w:p>
            <w:pPr>
              <w:jc w:val="left"/>
            </w:pPr>
            <w:r>
              <w:rPr>
                <w:rFonts w:ascii="宋体" w:hAnsi="宋体" w:eastAsia="宋体"/>
                <w:sz w:val="19"/>
              </w:rPr>
              <w:t>不显著</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周末</w:t>
            </w:r>
          </w:p>
        </w:tc>
        <w:tc>
          <w:tcPr>
            <w:tcW w:type="dxa" w:w="1152"/>
            <w:vAlign w:val="center"/>
            <w:tcMar>
              <w:top w:w="90" w:type="dxa"/>
              <w:start w:w="100" w:type="dxa"/>
              <w:bottom w:w="90" w:type="dxa"/>
              <w:end w:w="100" w:type="dxa"/>
            </w:tcMar>
            <w:shd w:fill="F3F7FA"/>
          </w:tcPr>
          <w:p>
            <w:pPr>
              <w:jc w:val="center"/>
            </w:pPr>
            <w:r>
              <w:rPr>
                <w:rFonts w:ascii="宋体" w:hAnsi="宋体" w:eastAsia="宋体"/>
                <w:sz w:val="19"/>
              </w:rPr>
              <w:t>-0.0778</w:t>
            </w:r>
          </w:p>
        </w:tc>
        <w:tc>
          <w:tcPr>
            <w:tcW w:type="dxa" w:w="1656"/>
            <w:vAlign w:val="center"/>
            <w:tcMar>
              <w:top w:w="90" w:type="dxa"/>
              <w:start w:w="100" w:type="dxa"/>
              <w:bottom w:w="90" w:type="dxa"/>
              <w:end w:w="100" w:type="dxa"/>
            </w:tcMar>
            <w:shd w:fill="F3F7FA"/>
          </w:tcPr>
          <w:p>
            <w:pPr>
              <w:jc w:val="left"/>
            </w:pPr>
            <w:r>
              <w:rPr>
                <w:rFonts w:ascii="宋体" w:hAnsi="宋体" w:eastAsia="宋体"/>
                <w:sz w:val="19"/>
              </w:rPr>
              <w:t>0.0401</w:t>
            </w:r>
          </w:p>
        </w:tc>
        <w:tc>
          <w:tcPr>
            <w:tcW w:type="dxa" w:w="1080"/>
            <w:vAlign w:val="center"/>
            <w:tcMar>
              <w:top w:w="90" w:type="dxa"/>
              <w:start w:w="100" w:type="dxa"/>
              <w:bottom w:w="90" w:type="dxa"/>
              <w:end w:w="100" w:type="dxa"/>
            </w:tcMar>
            <w:shd w:fill="F3F7FA"/>
          </w:tcPr>
          <w:p>
            <w:pPr>
              <w:jc w:val="left"/>
            </w:pPr>
            <w:r>
              <w:rPr>
                <w:rFonts w:ascii="宋体" w:hAnsi="宋体" w:eastAsia="宋体"/>
                <w:sz w:val="19"/>
              </w:rPr>
              <w:t>-1.940</w:t>
            </w:r>
          </w:p>
        </w:tc>
        <w:tc>
          <w:tcPr>
            <w:tcW w:type="dxa" w:w="1080"/>
            <w:vAlign w:val="center"/>
            <w:tcMar>
              <w:top w:w="90" w:type="dxa"/>
              <w:start w:w="100" w:type="dxa"/>
              <w:bottom w:w="90" w:type="dxa"/>
              <w:end w:w="100" w:type="dxa"/>
            </w:tcMar>
            <w:shd w:fill="F3F7FA"/>
          </w:tcPr>
          <w:p>
            <w:pPr>
              <w:jc w:val="left"/>
            </w:pPr>
            <w:r>
              <w:rPr>
                <w:rFonts w:ascii="宋体" w:hAnsi="宋体" w:eastAsia="宋体"/>
                <w:sz w:val="19"/>
              </w:rPr>
              <w:t>0.053</w:t>
            </w:r>
          </w:p>
        </w:tc>
        <w:tc>
          <w:tcPr>
            <w:tcW w:type="dxa" w:w="1296"/>
            <w:vAlign w:val="center"/>
            <w:tcMar>
              <w:top w:w="90" w:type="dxa"/>
              <w:start w:w="100" w:type="dxa"/>
              <w:bottom w:w="90" w:type="dxa"/>
              <w:end w:w="100" w:type="dxa"/>
            </w:tcMar>
            <w:shd w:fill="F3F7FA"/>
          </w:tcPr>
          <w:p>
            <w:pPr>
              <w:jc w:val="left"/>
            </w:pPr>
            <w:r>
              <w:rPr>
                <w:rFonts w:ascii="宋体" w:hAnsi="宋体" w:eastAsia="宋体"/>
                <w:sz w:val="19"/>
              </w:rPr>
              <w:t>不显著</w:t>
            </w:r>
          </w:p>
        </w:tc>
      </w:tr>
      <w:tr>
        <w:tc>
          <w:tcPr>
            <w:tcW w:type="dxa" w:w="1944"/>
            <w:vAlign w:val="center"/>
            <w:tcMar>
              <w:top w:w="90" w:type="dxa"/>
              <w:start w:w="100" w:type="dxa"/>
              <w:bottom w:w="90" w:type="dxa"/>
              <w:end w:w="100" w:type="dxa"/>
            </w:tcMar>
          </w:tcPr>
          <w:p>
            <w:pPr>
              <w:jc w:val="center"/>
            </w:pPr>
            <w:r>
              <w:rPr>
                <w:rFonts w:ascii="宋体" w:hAnsi="宋体" w:eastAsia="宋体"/>
                <w:sz w:val="19"/>
              </w:rPr>
              <w:t>法定节假日</w:t>
            </w:r>
          </w:p>
        </w:tc>
        <w:tc>
          <w:tcPr>
            <w:tcW w:type="dxa" w:w="1152"/>
            <w:vAlign w:val="center"/>
            <w:tcMar>
              <w:top w:w="90" w:type="dxa"/>
              <w:start w:w="100" w:type="dxa"/>
              <w:bottom w:w="90" w:type="dxa"/>
              <w:end w:w="100" w:type="dxa"/>
            </w:tcMar>
          </w:tcPr>
          <w:p>
            <w:pPr>
              <w:jc w:val="center"/>
            </w:pPr>
            <w:r>
              <w:rPr>
                <w:rFonts w:ascii="宋体" w:hAnsi="宋体" w:eastAsia="宋体"/>
                <w:sz w:val="19"/>
              </w:rPr>
              <w:t>-0.1641</w:t>
            </w:r>
          </w:p>
        </w:tc>
        <w:tc>
          <w:tcPr>
            <w:tcW w:type="dxa" w:w="1656"/>
            <w:vAlign w:val="center"/>
            <w:tcMar>
              <w:top w:w="90" w:type="dxa"/>
              <w:start w:w="100" w:type="dxa"/>
              <w:bottom w:w="90" w:type="dxa"/>
              <w:end w:w="100" w:type="dxa"/>
            </w:tcMar>
          </w:tcPr>
          <w:p>
            <w:pPr>
              <w:jc w:val="left"/>
            </w:pPr>
            <w:r>
              <w:rPr>
                <w:rFonts w:ascii="宋体" w:hAnsi="宋体" w:eastAsia="宋体"/>
                <w:sz w:val="19"/>
              </w:rPr>
              <w:t>0.1666</w:t>
            </w:r>
          </w:p>
        </w:tc>
        <w:tc>
          <w:tcPr>
            <w:tcW w:type="dxa" w:w="1080"/>
            <w:vAlign w:val="center"/>
            <w:tcMar>
              <w:top w:w="90" w:type="dxa"/>
              <w:start w:w="100" w:type="dxa"/>
              <w:bottom w:w="90" w:type="dxa"/>
              <w:end w:w="100" w:type="dxa"/>
            </w:tcMar>
          </w:tcPr>
          <w:p>
            <w:pPr>
              <w:jc w:val="left"/>
            </w:pPr>
            <w:r>
              <w:rPr>
                <w:rFonts w:ascii="宋体" w:hAnsi="宋体" w:eastAsia="宋体"/>
                <w:sz w:val="19"/>
              </w:rPr>
              <w:t>-0.985</w:t>
            </w:r>
          </w:p>
        </w:tc>
        <w:tc>
          <w:tcPr>
            <w:tcW w:type="dxa" w:w="1080"/>
            <w:vAlign w:val="center"/>
            <w:tcMar>
              <w:top w:w="90" w:type="dxa"/>
              <w:start w:w="100" w:type="dxa"/>
              <w:bottom w:w="90" w:type="dxa"/>
              <w:end w:w="100" w:type="dxa"/>
            </w:tcMar>
          </w:tcPr>
          <w:p>
            <w:pPr>
              <w:jc w:val="left"/>
            </w:pPr>
            <w:r>
              <w:rPr>
                <w:rFonts w:ascii="宋体" w:hAnsi="宋体" w:eastAsia="宋体"/>
                <w:sz w:val="19"/>
              </w:rPr>
              <w:t>0.325</w:t>
            </w:r>
          </w:p>
        </w:tc>
        <w:tc>
          <w:tcPr>
            <w:tcW w:type="dxa" w:w="1296"/>
            <w:vAlign w:val="center"/>
            <w:tcMar>
              <w:top w:w="90" w:type="dxa"/>
              <w:start w:w="100" w:type="dxa"/>
              <w:bottom w:w="90" w:type="dxa"/>
              <w:end w:w="100" w:type="dxa"/>
            </w:tcMar>
          </w:tcPr>
          <w:p>
            <w:pPr>
              <w:jc w:val="left"/>
            </w:pPr>
            <w:r>
              <w:rPr>
                <w:rFonts w:ascii="宋体" w:hAnsi="宋体" w:eastAsia="宋体"/>
                <w:sz w:val="19"/>
              </w:rPr>
              <w:t>不显著</w:t>
            </w:r>
          </w:p>
        </w:tc>
      </w:tr>
    </w:tbl>
    <w:p>
      <w:pPr>
        <w:spacing w:after="20"/>
      </w:pPr>
    </w:p>
    <w:p>
      <w:r>
        <w:t>模型样本量为365天，R²=0.7446，调整R²=0.7417；整体F统计量为262.37，p&lt;0.001，说明模型整体有效。</w:t>
      </w:r>
    </w:p>
    <w:p>
      <w:pPr>
        <w:pStyle w:val="Heading1"/>
      </w:pPr>
      <w:r>
        <w:t>八 结果解释</w:t>
      </w:r>
    </w:p>
    <w:p>
      <w:pPr>
        <w:pStyle w:val="Heading2"/>
      </w:pPr>
      <w:r>
        <w:t>8.1 广告投入效应</w:t>
      </w:r>
    </w:p>
    <w:p>
      <w:r>
        <w:t>广告投入系数为0.7387，且p&lt;0.001，说明控制时间、周末和节假日后，广告投入仍与注册量显著正相关。对数模型中，该系数可以近似解释为：广告投入增加1%，注册量平均增加约0.739%。由于系数小于1，注册量的增长幅度低于投入增长幅度，表明继续加大投入时可能存在边际效益递减。</w:t>
      </w:r>
    </w:p>
    <w:p>
      <w:pPr>
        <w:pStyle w:val="Heading2"/>
      </w:pPr>
      <w:r>
        <w:t>8.2 时间趋势</w:t>
      </w:r>
    </w:p>
    <w:p>
      <w:r>
        <w:t>时间趋势系数为0.000151，p=0.670，没有通过显著性检验。说明在控制广告投入、周末和节假日后，2025年注册量不存在稳定的线性上升或下降趋势。全年折线图中的阶段性变化不能简单归因于时间推移。</w:t>
      </w:r>
    </w:p>
    <w:p>
      <w:pPr>
        <w:pStyle w:val="Heading2"/>
      </w:pPr>
      <w:r>
        <w:t>8.3 周末效应</w:t>
      </w:r>
    </w:p>
    <w:p>
      <w:r>
        <w:t>周末系数为−0.0778，换算后的注册量变化约为-7.5%。其Newey-West稳健p值为0.053，接近但仍略高于0.05。因此可以表述为“周末注册量存在下降倾向，证据处于边界水平”，不宜写成“周末必然显著降低注册量”。</w:t>
      </w:r>
    </w:p>
    <w:p>
      <w:pPr>
        <w:pStyle w:val="Heading2"/>
      </w:pPr>
      <w:r>
        <w:t>8.4 节假日效应</w:t>
      </w:r>
    </w:p>
    <w:p>
      <w:r>
        <w:t>节假日系数为−0.1641，换算后的注册量变化约为-15.1%。但p=0.325，没有通过显著性检验。这表示控制广告投入和周末后，总体法定节假日呈负向估计，但证据不足以证明所有假日都存在相同的显著负效应。春节等重点假期仍应结合日度图形单独观察。</w:t>
      </w:r>
    </w:p>
    <w:p>
      <w:pPr>
        <w:pStyle w:val="Heading1"/>
      </w:pPr>
      <w:r>
        <w:t>九 日度趋势辅助分析</w:t>
      </w:r>
    </w:p>
    <w:p>
      <w:r>
        <w:drawing>
          <wp:inline xmlns:a="http://schemas.openxmlformats.org/drawingml/2006/main" xmlns:pic="http://schemas.openxmlformats.org/drawingml/2006/picture">
            <wp:extent cx="6217920" cy="2639387"/>
            <wp:docPr id="2" name="Picture 2"/>
            <wp:cNvGraphicFramePr>
              <a:graphicFrameLocks noChangeAspect="1"/>
            </wp:cNvGraphicFramePr>
            <a:graphic>
              <a:graphicData uri="http://schemas.openxmlformats.org/drawingml/2006/picture">
                <pic:pic>
                  <pic:nvPicPr>
                    <pic:cNvPr id="0" name="time_holiday_trend.png"/>
                    <pic:cNvPicPr/>
                  </pic:nvPicPr>
                  <pic:blipFill>
                    <a:blip r:embed="rId10"/>
                    <a:stretch>
                      <a:fillRect/>
                    </a:stretch>
                  </pic:blipFill>
                  <pic:spPr>
                    <a:xfrm>
                      <a:off x="0" y="0"/>
                      <a:ext cx="6217920" cy="2639387"/>
                    </a:xfrm>
                    <a:prstGeom prst="rect"/>
                  </pic:spPr>
                </pic:pic>
              </a:graphicData>
            </a:graphic>
          </wp:inline>
        </w:drawing>
      </w:r>
    </w:p>
    <w:p>
      <w:pPr>
        <w:spacing w:after="140"/>
        <w:jc w:val="center"/>
      </w:pPr>
      <w:r>
        <w:rPr>
          <w:b/>
          <w:sz w:val="19"/>
        </w:rPr>
        <w:t>图2 2025年日消费与日注册量标准化趋势</w:t>
      </w:r>
    </w:p>
    <w:p>
      <w:r>
        <w:t>图中两条曲线均经过标准化，只用于比较变化方向，不表示原始金额或人数。黄色阴影表示主要法定节假日。总体上，消费和注册量具有较明显的同步波动，这与回归中投入系数显著为正的结果一致；假日附近存在阶段性波动，但不同假期表现并不完全一致，因此需要回归模型控制投入后再判断假日净效应。</w:t>
      </w:r>
    </w:p>
    <w:p>
      <w:pPr>
        <w:pStyle w:val="Heading1"/>
      </w:pPr>
      <w:r>
        <w:t>十 模型检验与规范判断</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F4E78"/>
            <w:vAlign w:val="center"/>
            <w:tcMar>
              <w:top w:w="90" w:type="dxa"/>
              <w:start w:w="100" w:type="dxa"/>
              <w:bottom w:w="90" w:type="dxa"/>
              <w:end w:w="100" w:type="dxa"/>
            </w:tcMar>
          </w:tcPr>
          <w:p>
            <w:pPr>
              <w:jc w:val="center"/>
            </w:pPr>
            <w:r>
              <w:rPr>
                <w:b/>
                <w:color w:val="FFFFFF"/>
                <w:sz w:val="19"/>
              </w:rPr>
              <w:t>检验内容</w:t>
            </w:r>
          </w:p>
        </w:tc>
        <w:tc>
          <w:tcPr>
            <w:tcW w:type="dxa" w:w="3168"/>
            <w:shd w:fill="1F4E78"/>
            <w:vAlign w:val="center"/>
            <w:tcMar>
              <w:top w:w="90" w:type="dxa"/>
              <w:start w:w="100" w:type="dxa"/>
              <w:bottom w:w="90" w:type="dxa"/>
              <w:end w:w="100" w:type="dxa"/>
            </w:tcMar>
          </w:tcPr>
          <w:p>
            <w:pPr>
              <w:jc w:val="center"/>
            </w:pPr>
            <w:r>
              <w:rPr>
                <w:b/>
                <w:color w:val="FFFFFF"/>
                <w:sz w:val="19"/>
              </w:rPr>
              <w:t>结果</w:t>
            </w:r>
          </w:p>
        </w:tc>
        <w:tc>
          <w:tcPr>
            <w:tcW w:type="dxa" w:w="4824"/>
            <w:shd w:fill="1F4E78"/>
            <w:vAlign w:val="center"/>
            <w:tcMar>
              <w:top w:w="90" w:type="dxa"/>
              <w:start w:w="100" w:type="dxa"/>
              <w:bottom w:w="90" w:type="dxa"/>
              <w:end w:w="100" w:type="dxa"/>
            </w:tcMar>
          </w:tcPr>
          <w:p>
            <w:pPr>
              <w:jc w:val="center"/>
            </w:pPr>
            <w:r>
              <w:rPr>
                <w:b/>
                <w:color w:val="FFFFFF"/>
                <w:sz w:val="19"/>
              </w:rPr>
              <w:t>判断</w:t>
            </w:r>
          </w:p>
        </w:tc>
      </w:tr>
      <w:tr>
        <w:tc>
          <w:tcPr>
            <w:tcW w:type="dxa" w:w="1944"/>
            <w:vAlign w:val="center"/>
            <w:tcMar>
              <w:top w:w="90" w:type="dxa"/>
              <w:start w:w="100" w:type="dxa"/>
              <w:bottom w:w="90" w:type="dxa"/>
              <w:end w:w="100" w:type="dxa"/>
            </w:tcMar>
          </w:tcPr>
          <w:p>
            <w:pPr>
              <w:jc w:val="center"/>
            </w:pPr>
            <w:r>
              <w:rPr>
                <w:rFonts w:ascii="宋体" w:hAnsi="宋体" w:eastAsia="宋体"/>
                <w:sz w:val="19"/>
              </w:rPr>
              <w:t>整体F检验</w:t>
            </w:r>
          </w:p>
        </w:tc>
        <w:tc>
          <w:tcPr>
            <w:tcW w:type="dxa" w:w="3168"/>
            <w:vAlign w:val="center"/>
            <w:tcMar>
              <w:top w:w="90" w:type="dxa"/>
              <w:start w:w="100" w:type="dxa"/>
              <w:bottom w:w="90" w:type="dxa"/>
              <w:end w:w="100" w:type="dxa"/>
            </w:tcMar>
          </w:tcPr>
          <w:p>
            <w:pPr>
              <w:jc w:val="center"/>
            </w:pPr>
            <w:r>
              <w:rPr>
                <w:rFonts w:ascii="宋体" w:hAnsi="宋体" w:eastAsia="宋体"/>
                <w:sz w:val="19"/>
              </w:rPr>
              <w:t>F=262.37，p&lt;0.001</w:t>
            </w:r>
          </w:p>
        </w:tc>
        <w:tc>
          <w:tcPr>
            <w:tcW w:type="dxa" w:w="4824"/>
            <w:vAlign w:val="center"/>
            <w:tcMar>
              <w:top w:w="90" w:type="dxa"/>
              <w:start w:w="100" w:type="dxa"/>
              <w:bottom w:w="90" w:type="dxa"/>
              <w:end w:w="100" w:type="dxa"/>
            </w:tcMar>
          </w:tcPr>
          <w:p>
            <w:pPr>
              <w:jc w:val="left"/>
            </w:pPr>
            <w:r>
              <w:rPr>
                <w:rFonts w:ascii="宋体" w:hAnsi="宋体" w:eastAsia="宋体"/>
                <w:sz w:val="19"/>
              </w:rPr>
              <w:t>模型整体显著</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拟合程度</w:t>
            </w:r>
          </w:p>
        </w:tc>
        <w:tc>
          <w:tcPr>
            <w:tcW w:type="dxa" w:w="3168"/>
            <w:vAlign w:val="center"/>
            <w:tcMar>
              <w:top w:w="90" w:type="dxa"/>
              <w:start w:w="100" w:type="dxa"/>
              <w:bottom w:w="90" w:type="dxa"/>
              <w:end w:w="100" w:type="dxa"/>
            </w:tcMar>
            <w:shd w:fill="F3F7FA"/>
          </w:tcPr>
          <w:p>
            <w:pPr>
              <w:jc w:val="center"/>
            </w:pPr>
            <w:r>
              <w:rPr>
                <w:rFonts w:ascii="宋体" w:hAnsi="宋体" w:eastAsia="宋体"/>
                <w:sz w:val="19"/>
              </w:rPr>
              <w:t>调整R²=0.7417</w:t>
            </w:r>
          </w:p>
        </w:tc>
        <w:tc>
          <w:tcPr>
            <w:tcW w:type="dxa" w:w="4824"/>
            <w:vAlign w:val="center"/>
            <w:tcMar>
              <w:top w:w="90" w:type="dxa"/>
              <w:start w:w="100" w:type="dxa"/>
              <w:bottom w:w="90" w:type="dxa"/>
              <w:end w:w="100" w:type="dxa"/>
            </w:tcMar>
            <w:shd w:fill="F3F7FA"/>
          </w:tcPr>
          <w:p>
            <w:pPr>
              <w:jc w:val="left"/>
            </w:pPr>
            <w:r>
              <w:rPr>
                <w:rFonts w:ascii="宋体" w:hAnsi="宋体" w:eastAsia="宋体"/>
                <w:sz w:val="19"/>
              </w:rPr>
              <w:t>可解释约74.17%的日注册变化</w:t>
            </w:r>
          </w:p>
        </w:tc>
      </w:tr>
      <w:tr>
        <w:tc>
          <w:tcPr>
            <w:tcW w:type="dxa" w:w="1944"/>
            <w:vAlign w:val="center"/>
            <w:tcMar>
              <w:top w:w="90" w:type="dxa"/>
              <w:start w:w="100" w:type="dxa"/>
              <w:bottom w:w="90" w:type="dxa"/>
              <w:end w:w="100" w:type="dxa"/>
            </w:tcMar>
          </w:tcPr>
          <w:p>
            <w:pPr>
              <w:jc w:val="center"/>
            </w:pPr>
            <w:r>
              <w:rPr>
                <w:rFonts w:ascii="宋体" w:hAnsi="宋体" w:eastAsia="宋体"/>
                <w:sz w:val="19"/>
              </w:rPr>
              <w:t>多重共线性</w:t>
            </w:r>
          </w:p>
        </w:tc>
        <w:tc>
          <w:tcPr>
            <w:tcW w:type="dxa" w:w="3168"/>
            <w:vAlign w:val="center"/>
            <w:tcMar>
              <w:top w:w="90" w:type="dxa"/>
              <w:start w:w="100" w:type="dxa"/>
              <w:bottom w:w="90" w:type="dxa"/>
              <w:end w:w="100" w:type="dxa"/>
            </w:tcMar>
          </w:tcPr>
          <w:p>
            <w:pPr>
              <w:jc w:val="center"/>
            </w:pPr>
            <w:r>
              <w:rPr>
                <w:rFonts w:ascii="宋体" w:hAnsi="宋体" w:eastAsia="宋体"/>
                <w:sz w:val="19"/>
              </w:rPr>
              <w:t>四个解释变量VIF均约1.0至1.3</w:t>
            </w:r>
          </w:p>
        </w:tc>
        <w:tc>
          <w:tcPr>
            <w:tcW w:type="dxa" w:w="4824"/>
            <w:vAlign w:val="center"/>
            <w:tcMar>
              <w:top w:w="90" w:type="dxa"/>
              <w:start w:w="100" w:type="dxa"/>
              <w:bottom w:w="90" w:type="dxa"/>
              <w:end w:w="100" w:type="dxa"/>
            </w:tcMar>
          </w:tcPr>
          <w:p>
            <w:pPr>
              <w:jc w:val="left"/>
            </w:pPr>
            <w:r>
              <w:rPr>
                <w:rFonts w:ascii="宋体" w:hAnsi="宋体" w:eastAsia="宋体"/>
                <w:sz w:val="19"/>
              </w:rPr>
              <w:t>不存在严重共线性</w:t>
            </w:r>
          </w:p>
        </w:tc>
      </w:tr>
      <w:tr>
        <w:tc>
          <w:tcPr>
            <w:tcW w:type="dxa" w:w="1944"/>
            <w:vAlign w:val="center"/>
            <w:tcMar>
              <w:top w:w="90" w:type="dxa"/>
              <w:start w:w="100" w:type="dxa"/>
              <w:bottom w:w="90" w:type="dxa"/>
              <w:end w:w="100" w:type="dxa"/>
            </w:tcMar>
            <w:shd w:fill="F3F7FA"/>
          </w:tcPr>
          <w:p>
            <w:pPr>
              <w:jc w:val="center"/>
            </w:pPr>
            <w:r>
              <w:rPr>
                <w:rFonts w:ascii="宋体" w:hAnsi="宋体" w:eastAsia="宋体"/>
                <w:sz w:val="19"/>
              </w:rPr>
              <w:t>残差自相关</w:t>
            </w:r>
          </w:p>
        </w:tc>
        <w:tc>
          <w:tcPr>
            <w:tcW w:type="dxa" w:w="3168"/>
            <w:vAlign w:val="center"/>
            <w:tcMar>
              <w:top w:w="90" w:type="dxa"/>
              <w:start w:w="100" w:type="dxa"/>
              <w:bottom w:w="90" w:type="dxa"/>
              <w:end w:w="100" w:type="dxa"/>
            </w:tcMar>
            <w:shd w:fill="F3F7FA"/>
          </w:tcPr>
          <w:p>
            <w:pPr>
              <w:jc w:val="center"/>
            </w:pPr>
            <w:r>
              <w:rPr>
                <w:rFonts w:ascii="宋体" w:hAnsi="宋体" w:eastAsia="宋体"/>
                <w:sz w:val="19"/>
              </w:rPr>
              <w:t>Durbin-Watson=0.841</w:t>
            </w:r>
          </w:p>
        </w:tc>
        <w:tc>
          <w:tcPr>
            <w:tcW w:type="dxa" w:w="4824"/>
            <w:vAlign w:val="center"/>
            <w:tcMar>
              <w:top w:w="90" w:type="dxa"/>
              <w:start w:w="100" w:type="dxa"/>
              <w:bottom w:w="90" w:type="dxa"/>
              <w:end w:w="100" w:type="dxa"/>
            </w:tcMar>
            <w:shd w:fill="F3F7FA"/>
          </w:tcPr>
          <w:p>
            <w:pPr>
              <w:jc w:val="left"/>
            </w:pPr>
            <w:r>
              <w:rPr>
                <w:rFonts w:ascii="宋体" w:hAnsi="宋体" w:eastAsia="宋体"/>
                <w:sz w:val="19"/>
              </w:rPr>
              <w:t>存在正自相关迹象，采用Newey-West稳健标准误</w:t>
            </w:r>
          </w:p>
        </w:tc>
      </w:tr>
      <w:tr>
        <w:tc>
          <w:tcPr>
            <w:tcW w:type="dxa" w:w="1944"/>
            <w:vAlign w:val="center"/>
            <w:tcMar>
              <w:top w:w="90" w:type="dxa"/>
              <w:start w:w="100" w:type="dxa"/>
              <w:bottom w:w="90" w:type="dxa"/>
              <w:end w:w="100" w:type="dxa"/>
            </w:tcMar>
          </w:tcPr>
          <w:p>
            <w:pPr>
              <w:jc w:val="center"/>
            </w:pPr>
            <w:r>
              <w:rPr>
                <w:rFonts w:ascii="宋体" w:hAnsi="宋体" w:eastAsia="宋体"/>
                <w:sz w:val="19"/>
              </w:rPr>
              <w:t>滞后效应补充</w:t>
            </w:r>
          </w:p>
        </w:tc>
        <w:tc>
          <w:tcPr>
            <w:tcW w:type="dxa" w:w="3168"/>
            <w:vAlign w:val="center"/>
            <w:tcMar>
              <w:top w:w="90" w:type="dxa"/>
              <w:start w:w="100" w:type="dxa"/>
              <w:bottom w:w="90" w:type="dxa"/>
              <w:end w:w="100" w:type="dxa"/>
            </w:tcMar>
          </w:tcPr>
          <w:p>
            <w:pPr>
              <w:jc w:val="center"/>
            </w:pPr>
            <w:r>
              <w:rPr>
                <w:rFonts w:ascii="宋体" w:hAnsi="宋体" w:eastAsia="宋体"/>
                <w:sz w:val="19"/>
              </w:rPr>
              <w:t>滞后1日投入原检验p≈0.0537</w:t>
            </w:r>
          </w:p>
        </w:tc>
        <w:tc>
          <w:tcPr>
            <w:tcW w:type="dxa" w:w="4824"/>
            <w:vAlign w:val="center"/>
            <w:tcMar>
              <w:top w:w="90" w:type="dxa"/>
              <w:start w:w="100" w:type="dxa"/>
              <w:bottom w:w="90" w:type="dxa"/>
              <w:end w:w="100" w:type="dxa"/>
            </w:tcMar>
          </w:tcPr>
          <w:p>
            <w:pPr>
              <w:jc w:val="left"/>
            </w:pPr>
            <w:r>
              <w:rPr>
                <w:rFonts w:ascii="宋体" w:hAnsi="宋体" w:eastAsia="宋体"/>
                <w:sz w:val="19"/>
              </w:rPr>
              <w:t>作为稳健性说明，不进入简化主模型</w:t>
            </w:r>
          </w:p>
        </w:tc>
      </w:tr>
    </w:tbl>
    <w:p>
      <w:pPr>
        <w:spacing w:after="20"/>
      </w:pPr>
    </w:p>
    <w:p>
      <w:r>
        <w:t>模型检验表明，简化模型整体有效，变量之间没有明显共线性。由于日度数据具有连续性，残差可能存在一周内相关，因此使用7阶Newey-West稳健标准误比直接使用普通标准误更稳妥。</w:t>
      </w:r>
    </w:p>
    <w:p>
      <w:pPr>
        <w:pStyle w:val="Heading1"/>
      </w:pPr>
      <w:r>
        <w:t>十一 与第三问的衔接</w:t>
      </w:r>
    </w:p>
    <w:p>
      <w:r>
        <w:t>第一问的作用是识别总体时间规律，而第三问需要确定具体日期、推广单元和关键词的投放策略。二者应按以下方式衔接：</w:t>
      </w:r>
    </w:p>
    <w:p>
      <w:pPr>
        <w:pStyle w:val="ListBullet"/>
        <w:ind w:left="360"/>
      </w:pPr>
      <w:r>
        <w:t>第一问确认当日投入与当日注册的关系最强，因此第三问以当日预期注册效率作为主要效益参数。</w:t>
      </w:r>
    </w:p>
    <w:p>
      <w:pPr>
        <w:pStyle w:val="ListBullet"/>
        <w:ind w:left="360"/>
      </w:pPr>
      <w:r>
        <w:t>时间趋势不显著，因此第三问不需要人为规定2月到8月统一增加或减少某个固定比例。</w:t>
      </w:r>
    </w:p>
    <w:p>
      <w:pPr>
        <w:pStyle w:val="ListBullet"/>
        <w:ind w:left="360"/>
      </w:pPr>
      <w:r>
        <w:t>周末存在下降倾向，第三问可使用目标日期的单元日度效率反映星期差异，但不应强制所有周末减投。</w:t>
      </w:r>
    </w:p>
    <w:p>
      <w:pPr>
        <w:pStyle w:val="ListBullet"/>
        <w:ind w:left="360"/>
      </w:pPr>
      <w:r>
        <w:t>总体假日效应不显著，第三问不能把春节假日统一乘一个主观折扣系数；优先使用2月1至8日的实际日度效率。</w:t>
      </w:r>
    </w:p>
    <w:p>
      <w:r>
        <w:t>因此，第三问中关键词i在推广单元u、日期t的单位投入预期注册量可简化表示为：</w:t>
      </w:r>
    </w:p>
    <w:p>
      <w:pPr>
        <w:spacing w:before="100" w:after="140"/>
        <w:jc w:val="center"/>
      </w:pPr>
      <w:r>
        <w:rPr>
          <w:rFonts w:ascii="Cambria Math" w:hAnsi="Cambria Math" w:eastAsia="Cambria Math"/>
          <w:i/>
          <w:sz w:val="23"/>
        </w:rPr>
        <w:t>eᴿᵢᵤₜ = rᵤₜ × gᵢ</w:t>
      </w:r>
    </w:p>
    <w:p>
      <w:r>
        <w:t>其中，rᵤₜ为推广单元u在日期t的单位投入注册量，已经包含当天的周末、节假日和市场环境；gᵢ为问题2得到的关键词相对效率。这样既利用第一问的时间结论，又避免在第三问中重复加入时间变量。</w:t>
      </w:r>
    </w:p>
    <w:p>
      <w:pPr>
        <w:pStyle w:val="Heading1"/>
      </w:pPr>
      <w:r>
        <w:t>十二 论文可直接使用的结论</w:t>
      </w:r>
    </w:p>
    <w:p>
      <w:r>
        <w:t>本文首先按日期汇总各方案和推广单元的广告消费，并与每日新增注册数匹配。为兼顾模型简洁性和解释性，以日注册量为被解释变量，以日广告消费、线性时间趋势、周末和法定节假日为解释变量，建立日度对数线性回归模型。结果显示，广告投入系数为0.7387且显著为正，表明投入增加能够显著提高注册量，但存在一定的边际效益递减；时间趋势系数不显著，说明注册量不存在稳定的全年线性变化；周末系数为负且接近显著，表现出一定下降倾向；法定节假日系数为负但不显著，说明不同假日的影响存在差异，不能将所有节假日统一判断为低效日期。基于上述结果，后续优化应以具体日期和推广单元的历史效率调整关键词投放，而不宜简单按照“周末减投”或“假日减投”的固定规则配置预算。</w:t>
      </w:r>
    </w:p>
    <w:p>
      <w:pPr>
        <w:pStyle w:val="Heading1"/>
      </w:pPr>
      <w:r>
        <w:t>十三 操作步骤简表</w:t>
      </w:r>
    </w:p>
    <w:tbl>
      <w:tblPr>
        <w:tblStyle w:val="TableGrid"/>
        <w:tblW w:type="auto" w:w="0"/>
        <w:jc w:val="center"/>
        <w:tblLook w:firstColumn="1" w:firstRow="1" w:lastColumn="0" w:lastRow="0" w:noHBand="0" w:noVBand="1" w:val="04A0"/>
      </w:tblPr>
      <w:tblGrid>
        <w:gridCol w:w="3331"/>
        <w:gridCol w:w="3331"/>
        <w:gridCol w:w="3331"/>
      </w:tblGrid>
      <w:tr>
        <w:tc>
          <w:tcPr>
            <w:tcW w:type="dxa" w:w="936"/>
            <w:shd w:fill="1F4E78"/>
            <w:vAlign w:val="center"/>
            <w:tcMar>
              <w:top w:w="90" w:type="dxa"/>
              <w:start w:w="100" w:type="dxa"/>
              <w:bottom w:w="90" w:type="dxa"/>
              <w:end w:w="100" w:type="dxa"/>
            </w:tcMar>
          </w:tcPr>
          <w:p>
            <w:pPr>
              <w:jc w:val="center"/>
            </w:pPr>
            <w:r>
              <w:rPr>
                <w:b/>
                <w:color w:val="FFFFFF"/>
                <w:sz w:val="19"/>
              </w:rPr>
              <w:t>步骤</w:t>
            </w:r>
          </w:p>
        </w:tc>
        <w:tc>
          <w:tcPr>
            <w:tcW w:type="dxa" w:w="5904"/>
            <w:shd w:fill="1F4E78"/>
            <w:vAlign w:val="center"/>
            <w:tcMar>
              <w:top w:w="90" w:type="dxa"/>
              <w:start w:w="100" w:type="dxa"/>
              <w:bottom w:w="90" w:type="dxa"/>
              <w:end w:w="100" w:type="dxa"/>
            </w:tcMar>
          </w:tcPr>
          <w:p>
            <w:pPr>
              <w:jc w:val="center"/>
            </w:pPr>
            <w:r>
              <w:rPr>
                <w:b/>
                <w:color w:val="FFFFFF"/>
                <w:sz w:val="19"/>
              </w:rPr>
              <w:t>具体操作</w:t>
            </w:r>
          </w:p>
        </w:tc>
        <w:tc>
          <w:tcPr>
            <w:tcW w:type="dxa" w:w="3096"/>
            <w:shd w:fill="1F4E78"/>
            <w:vAlign w:val="center"/>
            <w:tcMar>
              <w:top w:w="90" w:type="dxa"/>
              <w:start w:w="100" w:type="dxa"/>
              <w:bottom w:w="90" w:type="dxa"/>
              <w:end w:w="100" w:type="dxa"/>
            </w:tcMar>
          </w:tcPr>
          <w:p>
            <w:pPr>
              <w:jc w:val="center"/>
            </w:pPr>
            <w:r>
              <w:rPr>
                <w:b/>
                <w:color w:val="FFFFFF"/>
                <w:sz w:val="19"/>
              </w:rPr>
              <w:t>输出结果</w:t>
            </w:r>
          </w:p>
        </w:tc>
      </w:tr>
      <w:tr>
        <w:tc>
          <w:tcPr>
            <w:tcW w:type="dxa" w:w="936"/>
            <w:vAlign w:val="center"/>
            <w:tcMar>
              <w:top w:w="90" w:type="dxa"/>
              <w:start w:w="100" w:type="dxa"/>
              <w:bottom w:w="90" w:type="dxa"/>
              <w:end w:w="100" w:type="dxa"/>
            </w:tcMar>
          </w:tcPr>
          <w:p>
            <w:pPr>
              <w:jc w:val="center"/>
            </w:pPr>
            <w:r>
              <w:rPr>
                <w:rFonts w:ascii="宋体" w:hAnsi="宋体" w:eastAsia="宋体"/>
                <w:sz w:val="19"/>
              </w:rPr>
              <w:t>1</w:t>
            </w:r>
          </w:p>
        </w:tc>
        <w:tc>
          <w:tcPr>
            <w:tcW w:type="dxa" w:w="5904"/>
            <w:vAlign w:val="center"/>
            <w:tcMar>
              <w:top w:w="90" w:type="dxa"/>
              <w:start w:w="100" w:type="dxa"/>
              <w:bottom w:w="90" w:type="dxa"/>
              <w:end w:w="100" w:type="dxa"/>
            </w:tcMar>
          </w:tcPr>
          <w:p>
            <w:pPr>
              <w:jc w:val="center"/>
            </w:pPr>
            <w:r>
              <w:rPr>
                <w:rFonts w:ascii="宋体" w:hAnsi="宋体" w:eastAsia="宋体"/>
                <w:sz w:val="19"/>
              </w:rPr>
              <w:t>Sheet1按日期汇总消费额，与Sheet2注册量匹配</w:t>
            </w:r>
          </w:p>
        </w:tc>
        <w:tc>
          <w:tcPr>
            <w:tcW w:type="dxa" w:w="3096"/>
            <w:vAlign w:val="center"/>
            <w:tcMar>
              <w:top w:w="90" w:type="dxa"/>
              <w:start w:w="100" w:type="dxa"/>
              <w:bottom w:w="90" w:type="dxa"/>
              <w:end w:w="100" w:type="dxa"/>
            </w:tcMar>
          </w:tcPr>
          <w:p>
            <w:pPr>
              <w:jc w:val="left"/>
            </w:pPr>
            <w:r>
              <w:rPr>
                <w:rFonts w:ascii="宋体" w:hAnsi="宋体" w:eastAsia="宋体"/>
                <w:sz w:val="19"/>
              </w:rPr>
              <w:t>365行日度数据</w:t>
            </w:r>
          </w:p>
        </w:tc>
      </w:tr>
      <w:tr>
        <w:tc>
          <w:tcPr>
            <w:tcW w:type="dxa" w:w="936"/>
            <w:vAlign w:val="center"/>
            <w:tcMar>
              <w:top w:w="90" w:type="dxa"/>
              <w:start w:w="100" w:type="dxa"/>
              <w:bottom w:w="90" w:type="dxa"/>
              <w:end w:w="100" w:type="dxa"/>
            </w:tcMar>
            <w:shd w:fill="F3F7FA"/>
          </w:tcPr>
          <w:p>
            <w:pPr>
              <w:jc w:val="center"/>
            </w:pPr>
            <w:r>
              <w:rPr>
                <w:rFonts w:ascii="宋体" w:hAnsi="宋体" w:eastAsia="宋体"/>
                <w:sz w:val="19"/>
              </w:rPr>
              <w:t>2</w:t>
            </w:r>
          </w:p>
        </w:tc>
        <w:tc>
          <w:tcPr>
            <w:tcW w:type="dxa" w:w="5904"/>
            <w:vAlign w:val="center"/>
            <w:tcMar>
              <w:top w:w="90" w:type="dxa"/>
              <w:start w:w="100" w:type="dxa"/>
              <w:bottom w:w="90" w:type="dxa"/>
              <w:end w:w="100" w:type="dxa"/>
            </w:tcMar>
            <w:shd w:fill="F3F7FA"/>
          </w:tcPr>
          <w:p>
            <w:pPr>
              <w:jc w:val="center"/>
            </w:pPr>
            <w:r>
              <w:rPr>
                <w:rFonts w:ascii="宋体" w:hAnsi="宋体" w:eastAsia="宋体"/>
                <w:sz w:val="19"/>
              </w:rPr>
              <w:t>生成时间序号、周末变量和节假日变量</w:t>
            </w:r>
          </w:p>
        </w:tc>
        <w:tc>
          <w:tcPr>
            <w:tcW w:type="dxa" w:w="3096"/>
            <w:vAlign w:val="center"/>
            <w:tcMar>
              <w:top w:w="90" w:type="dxa"/>
              <w:start w:w="100" w:type="dxa"/>
              <w:bottom w:w="90" w:type="dxa"/>
              <w:end w:w="100" w:type="dxa"/>
            </w:tcMar>
            <w:shd w:fill="F3F7FA"/>
          </w:tcPr>
          <w:p>
            <w:pPr>
              <w:jc w:val="left"/>
            </w:pPr>
            <w:r>
              <w:rPr>
                <w:rFonts w:ascii="宋体" w:hAnsi="宋体" w:eastAsia="宋体"/>
                <w:sz w:val="19"/>
              </w:rPr>
              <w:t>四个解释变量</w:t>
            </w:r>
          </w:p>
        </w:tc>
      </w:tr>
      <w:tr>
        <w:tc>
          <w:tcPr>
            <w:tcW w:type="dxa" w:w="936"/>
            <w:vAlign w:val="center"/>
            <w:tcMar>
              <w:top w:w="90" w:type="dxa"/>
              <w:start w:w="100" w:type="dxa"/>
              <w:bottom w:w="90" w:type="dxa"/>
              <w:end w:w="100" w:type="dxa"/>
            </w:tcMar>
          </w:tcPr>
          <w:p>
            <w:pPr>
              <w:jc w:val="center"/>
            </w:pPr>
            <w:r>
              <w:rPr>
                <w:rFonts w:ascii="宋体" w:hAnsi="宋体" w:eastAsia="宋体"/>
                <w:sz w:val="19"/>
              </w:rPr>
              <w:t>3</w:t>
            </w:r>
          </w:p>
        </w:tc>
        <w:tc>
          <w:tcPr>
            <w:tcW w:type="dxa" w:w="5904"/>
            <w:vAlign w:val="center"/>
            <w:tcMar>
              <w:top w:w="90" w:type="dxa"/>
              <w:start w:w="100" w:type="dxa"/>
              <w:bottom w:w="90" w:type="dxa"/>
              <w:end w:w="100" w:type="dxa"/>
            </w:tcMar>
          </w:tcPr>
          <w:p>
            <w:pPr>
              <w:jc w:val="center"/>
            </w:pPr>
            <w:r>
              <w:rPr>
                <w:rFonts w:ascii="宋体" w:hAnsi="宋体" w:eastAsia="宋体"/>
                <w:sz w:val="19"/>
              </w:rPr>
              <w:t>计算ln(注册量+1)与ln(消费额+1)</w:t>
            </w:r>
          </w:p>
        </w:tc>
        <w:tc>
          <w:tcPr>
            <w:tcW w:type="dxa" w:w="3096"/>
            <w:vAlign w:val="center"/>
            <w:tcMar>
              <w:top w:w="90" w:type="dxa"/>
              <w:start w:w="100" w:type="dxa"/>
              <w:bottom w:w="90" w:type="dxa"/>
              <w:end w:w="100" w:type="dxa"/>
            </w:tcMar>
          </w:tcPr>
          <w:p>
            <w:pPr>
              <w:jc w:val="left"/>
            </w:pPr>
            <w:r>
              <w:rPr>
                <w:rFonts w:ascii="宋体" w:hAnsi="宋体" w:eastAsia="宋体"/>
                <w:sz w:val="19"/>
              </w:rPr>
              <w:t>回归用数据</w:t>
            </w:r>
          </w:p>
        </w:tc>
      </w:tr>
      <w:tr>
        <w:tc>
          <w:tcPr>
            <w:tcW w:type="dxa" w:w="936"/>
            <w:vAlign w:val="center"/>
            <w:tcMar>
              <w:top w:w="90" w:type="dxa"/>
              <w:start w:w="100" w:type="dxa"/>
              <w:bottom w:w="90" w:type="dxa"/>
              <w:end w:w="100" w:type="dxa"/>
            </w:tcMar>
            <w:shd w:fill="F3F7FA"/>
          </w:tcPr>
          <w:p>
            <w:pPr>
              <w:jc w:val="center"/>
            </w:pPr>
            <w:r>
              <w:rPr>
                <w:rFonts w:ascii="宋体" w:hAnsi="宋体" w:eastAsia="宋体"/>
                <w:sz w:val="19"/>
              </w:rPr>
              <w:t>4</w:t>
            </w:r>
          </w:p>
        </w:tc>
        <w:tc>
          <w:tcPr>
            <w:tcW w:type="dxa" w:w="5904"/>
            <w:vAlign w:val="center"/>
            <w:tcMar>
              <w:top w:w="90" w:type="dxa"/>
              <w:start w:w="100" w:type="dxa"/>
              <w:bottom w:w="90" w:type="dxa"/>
              <w:end w:w="100" w:type="dxa"/>
            </w:tcMar>
            <w:shd w:fill="F3F7FA"/>
          </w:tcPr>
          <w:p>
            <w:pPr>
              <w:jc w:val="center"/>
            </w:pPr>
            <w:r>
              <w:rPr>
                <w:rFonts w:ascii="宋体" w:hAnsi="宋体" w:eastAsia="宋体"/>
                <w:sz w:val="19"/>
              </w:rPr>
              <w:t>用普通最小二乘法估计系数</w:t>
            </w:r>
          </w:p>
        </w:tc>
        <w:tc>
          <w:tcPr>
            <w:tcW w:type="dxa" w:w="3096"/>
            <w:vAlign w:val="center"/>
            <w:tcMar>
              <w:top w:w="90" w:type="dxa"/>
              <w:start w:w="100" w:type="dxa"/>
              <w:bottom w:w="90" w:type="dxa"/>
              <w:end w:w="100" w:type="dxa"/>
            </w:tcMar>
            <w:shd w:fill="F3F7FA"/>
          </w:tcPr>
          <w:p>
            <w:pPr>
              <w:jc w:val="left"/>
            </w:pPr>
            <w:r>
              <w:rPr>
                <w:rFonts w:ascii="宋体" w:hAnsi="宋体" w:eastAsia="宋体"/>
                <w:sz w:val="19"/>
              </w:rPr>
              <w:t>模型系数与预测值</w:t>
            </w:r>
          </w:p>
        </w:tc>
      </w:tr>
      <w:tr>
        <w:tc>
          <w:tcPr>
            <w:tcW w:type="dxa" w:w="936"/>
            <w:vAlign w:val="center"/>
            <w:tcMar>
              <w:top w:w="90" w:type="dxa"/>
              <w:start w:w="100" w:type="dxa"/>
              <w:bottom w:w="90" w:type="dxa"/>
              <w:end w:w="100" w:type="dxa"/>
            </w:tcMar>
          </w:tcPr>
          <w:p>
            <w:pPr>
              <w:jc w:val="center"/>
            </w:pPr>
            <w:r>
              <w:rPr>
                <w:rFonts w:ascii="宋体" w:hAnsi="宋体" w:eastAsia="宋体"/>
                <w:sz w:val="19"/>
              </w:rPr>
              <w:t>5</w:t>
            </w:r>
          </w:p>
        </w:tc>
        <w:tc>
          <w:tcPr>
            <w:tcW w:type="dxa" w:w="5904"/>
            <w:vAlign w:val="center"/>
            <w:tcMar>
              <w:top w:w="90" w:type="dxa"/>
              <w:start w:w="100" w:type="dxa"/>
              <w:bottom w:w="90" w:type="dxa"/>
              <w:end w:w="100" w:type="dxa"/>
            </w:tcMar>
          </w:tcPr>
          <w:p>
            <w:pPr>
              <w:jc w:val="center"/>
            </w:pPr>
            <w:r>
              <w:rPr>
                <w:rFonts w:ascii="宋体" w:hAnsi="宋体" w:eastAsia="宋体"/>
                <w:sz w:val="19"/>
              </w:rPr>
              <w:t>报告Newey-West 7阶稳健标准误</w:t>
            </w:r>
          </w:p>
        </w:tc>
        <w:tc>
          <w:tcPr>
            <w:tcW w:type="dxa" w:w="3096"/>
            <w:vAlign w:val="center"/>
            <w:tcMar>
              <w:top w:w="90" w:type="dxa"/>
              <w:start w:w="100" w:type="dxa"/>
              <w:bottom w:w="90" w:type="dxa"/>
              <w:end w:w="100" w:type="dxa"/>
            </w:tcMar>
          </w:tcPr>
          <w:p>
            <w:pPr>
              <w:jc w:val="left"/>
            </w:pPr>
            <w:r>
              <w:rPr>
                <w:rFonts w:ascii="宋体" w:hAnsi="宋体" w:eastAsia="宋体"/>
                <w:sz w:val="19"/>
              </w:rPr>
              <w:t>稳健p值</w:t>
            </w:r>
          </w:p>
        </w:tc>
      </w:tr>
      <w:tr>
        <w:tc>
          <w:tcPr>
            <w:tcW w:type="dxa" w:w="936"/>
            <w:vAlign w:val="center"/>
            <w:tcMar>
              <w:top w:w="90" w:type="dxa"/>
              <w:start w:w="100" w:type="dxa"/>
              <w:bottom w:w="90" w:type="dxa"/>
              <w:end w:w="100" w:type="dxa"/>
            </w:tcMar>
            <w:shd w:fill="F3F7FA"/>
          </w:tcPr>
          <w:p>
            <w:pPr>
              <w:jc w:val="center"/>
            </w:pPr>
            <w:r>
              <w:rPr>
                <w:rFonts w:ascii="宋体" w:hAnsi="宋体" w:eastAsia="宋体"/>
                <w:sz w:val="19"/>
              </w:rPr>
              <w:t>6</w:t>
            </w:r>
          </w:p>
        </w:tc>
        <w:tc>
          <w:tcPr>
            <w:tcW w:type="dxa" w:w="5904"/>
            <w:vAlign w:val="center"/>
            <w:tcMar>
              <w:top w:w="90" w:type="dxa"/>
              <w:start w:w="100" w:type="dxa"/>
              <w:bottom w:w="90" w:type="dxa"/>
              <w:end w:w="100" w:type="dxa"/>
            </w:tcMar>
            <w:shd w:fill="F3F7FA"/>
          </w:tcPr>
          <w:p>
            <w:pPr>
              <w:jc w:val="center"/>
            </w:pPr>
            <w:r>
              <w:rPr>
                <w:rFonts w:ascii="宋体" w:hAnsi="宋体" w:eastAsia="宋体"/>
                <w:sz w:val="19"/>
              </w:rPr>
              <w:t>解释投入、趋势、周末和假日效应</w:t>
            </w:r>
          </w:p>
        </w:tc>
        <w:tc>
          <w:tcPr>
            <w:tcW w:type="dxa" w:w="3096"/>
            <w:vAlign w:val="center"/>
            <w:tcMar>
              <w:top w:w="90" w:type="dxa"/>
              <w:start w:w="100" w:type="dxa"/>
              <w:bottom w:w="90" w:type="dxa"/>
              <w:end w:w="100" w:type="dxa"/>
            </w:tcMar>
            <w:shd w:fill="F3F7FA"/>
          </w:tcPr>
          <w:p>
            <w:pPr>
              <w:jc w:val="left"/>
            </w:pPr>
            <w:r>
              <w:rPr>
                <w:rFonts w:ascii="宋体" w:hAnsi="宋体" w:eastAsia="宋体"/>
                <w:sz w:val="19"/>
              </w:rPr>
              <w:t>第一问时间结论</w:t>
            </w:r>
          </w:p>
        </w:tc>
      </w:tr>
      <w:tr>
        <w:tc>
          <w:tcPr>
            <w:tcW w:type="dxa" w:w="936"/>
            <w:vAlign w:val="center"/>
            <w:tcMar>
              <w:top w:w="90" w:type="dxa"/>
              <w:start w:w="100" w:type="dxa"/>
              <w:bottom w:w="90" w:type="dxa"/>
              <w:end w:w="100" w:type="dxa"/>
            </w:tcMar>
          </w:tcPr>
          <w:p>
            <w:pPr>
              <w:jc w:val="center"/>
            </w:pPr>
            <w:r>
              <w:rPr>
                <w:rFonts w:ascii="宋体" w:hAnsi="宋体" w:eastAsia="宋体"/>
                <w:sz w:val="19"/>
              </w:rPr>
              <w:t>7</w:t>
            </w:r>
          </w:p>
        </w:tc>
        <w:tc>
          <w:tcPr>
            <w:tcW w:type="dxa" w:w="5904"/>
            <w:vAlign w:val="center"/>
            <w:tcMar>
              <w:top w:w="90" w:type="dxa"/>
              <w:start w:w="100" w:type="dxa"/>
              <w:bottom w:w="90" w:type="dxa"/>
              <w:end w:w="100" w:type="dxa"/>
            </w:tcMar>
          </w:tcPr>
          <w:p>
            <w:pPr>
              <w:jc w:val="center"/>
            </w:pPr>
            <w:r>
              <w:rPr>
                <w:rFonts w:ascii="宋体" w:hAnsi="宋体" w:eastAsia="宋体"/>
                <w:sz w:val="19"/>
              </w:rPr>
              <w:t>将日度效率传递给第三问</w:t>
            </w:r>
          </w:p>
        </w:tc>
        <w:tc>
          <w:tcPr>
            <w:tcW w:type="dxa" w:w="3096"/>
            <w:vAlign w:val="center"/>
            <w:tcMar>
              <w:top w:w="90" w:type="dxa"/>
              <w:start w:w="100" w:type="dxa"/>
              <w:bottom w:w="90" w:type="dxa"/>
              <w:end w:w="100" w:type="dxa"/>
            </w:tcMar>
          </w:tcPr>
          <w:p>
            <w:pPr>
              <w:jc w:val="left"/>
            </w:pPr>
            <w:r>
              <w:rPr>
                <w:rFonts w:ascii="宋体" w:hAnsi="宋体" w:eastAsia="宋体"/>
                <w:sz w:val="19"/>
              </w:rPr>
              <w:t>关键词日度效益参数</w:t>
            </w:r>
          </w:p>
        </w:tc>
      </w:tr>
    </w:tbl>
    <w:p>
      <w:pPr>
        <w:spacing w:after="20"/>
      </w:pPr>
    </w:p>
    <w:sectPr w:rsidR="00FC693F" w:rsidRPr="0006063C" w:rsidSect="00034616">
      <w:footerReference w:type="default" r:id="rId11"/>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E题第一问  时间与假日效应分析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黑体" w:hAnsi="黑体"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