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第三问历史比例分配对比方案及结果</w:t>
      </w:r>
    </w:p>
    <w:p>
      <w:r>
        <w:t>为验证混合整数线性规划方案是否优于企业原有投放方式，本文只选择历史比例分配作为对比方案。该方案计算简单、含义明确，不需要再引入贪心算法，也不会增加新的优化参数。比较时保持日期、推广单元和预算完全一致，只改变关键词之间的资金分配方式。</w:t>
      </w:r>
    </w:p>
    <w:p>
      <w:pPr>
        <w:pStyle w:val="Heading1"/>
      </w:pPr>
      <w:r>
        <w:t>一 对比方案的作用</w:t>
      </w:r>
    </w:p>
    <w:p>
      <w:r>
        <w:t>历史比例分配表示企业继续沿用2025年的关键词消费结构。它不是为了寻找最优解，而是构造“如果不进行关键词结构优化”的基准情景。混合整数线性规划方案与该基准在同预算条件下比较，能够直接回答：不增加资金，只调整关键词选择和投入结构，投放效益能否提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2448"/>
            <w:shd w:fill="173B67"/>
            <w:vAlign w:val="center"/>
          </w:tcPr>
          <w:p>
            <w:pPr>
              <w:jc w:val="center"/>
            </w:pPr>
            <w:r>
              <w:rPr>
                <w:b/>
                <w:color w:val="FFFFFF"/>
                <w:sz w:val="16"/>
              </w:rPr>
              <w:t>方案</w:t>
            </w:r>
          </w:p>
        </w:tc>
        <w:tc>
          <w:tcPr>
            <w:tcW w:type="dxa" w:w="4752"/>
            <w:shd w:fill="173B67"/>
            <w:vAlign w:val="center"/>
          </w:tcPr>
          <w:p>
            <w:pPr>
              <w:jc w:val="center"/>
            </w:pPr>
            <w:r>
              <w:rPr>
                <w:b/>
                <w:color w:val="FFFFFF"/>
                <w:sz w:val="16"/>
              </w:rPr>
              <w:t>关键词资金分配规则</w:t>
            </w:r>
          </w:p>
        </w:tc>
        <w:tc>
          <w:tcPr>
            <w:tcW w:type="dxa" w:w="1872"/>
            <w:shd w:fill="173B67"/>
            <w:vAlign w:val="center"/>
          </w:tcPr>
          <w:p>
            <w:pPr>
              <w:jc w:val="center"/>
            </w:pPr>
            <w:r>
              <w:rPr>
                <w:b/>
                <w:color w:val="FFFFFF"/>
                <w:sz w:val="16"/>
              </w:rPr>
              <w:t>作用</w:t>
            </w:r>
          </w:p>
        </w:tc>
      </w:tr>
      <w:tr>
        <w:tc>
          <w:tcPr>
            <w:tcW w:type="dxa" w:w="2448"/>
            <w:shd w:fill="FFFFFF"/>
            <w:vAlign w:val="center"/>
          </w:tcPr>
          <w:p>
            <w:pPr>
              <w:spacing w:line="259" w:lineRule="auto" w:after="20"/>
              <w:jc w:val="center"/>
            </w:pPr>
            <w:r>
              <w:rPr>
                <w:sz w:val="16"/>
              </w:rPr>
              <w:t>历史比例方案</w:t>
            </w:r>
          </w:p>
        </w:tc>
        <w:tc>
          <w:tcPr>
            <w:tcW w:type="dxa" w:w="4752"/>
            <w:shd w:fill="FFFFFF"/>
            <w:vAlign w:val="center"/>
          </w:tcPr>
          <w:p>
            <w:pPr>
              <w:spacing w:line="259" w:lineRule="auto" w:after="20"/>
              <w:jc w:val="center"/>
            </w:pPr>
            <w:r>
              <w:rPr>
                <w:sz w:val="16"/>
              </w:rPr>
              <w:t>按照关键词历史消费占比分配当天预算</w:t>
            </w:r>
          </w:p>
        </w:tc>
        <w:tc>
          <w:tcPr>
            <w:tcW w:type="dxa" w:w="1872"/>
            <w:shd w:fill="FFFFFF"/>
            <w:vAlign w:val="center"/>
          </w:tcPr>
          <w:p>
            <w:pPr>
              <w:spacing w:line="259" w:lineRule="auto" w:after="20"/>
              <w:jc w:val="center"/>
            </w:pPr>
            <w:r>
              <w:rPr>
                <w:sz w:val="16"/>
              </w:rPr>
              <w:t>基准方案</w:t>
            </w:r>
          </w:p>
        </w:tc>
      </w:tr>
      <w:tr>
        <w:tc>
          <w:tcPr>
            <w:tcW w:type="dxa" w:w="2448"/>
            <w:shd w:fill="F3F7FC"/>
            <w:vAlign w:val="center"/>
          </w:tcPr>
          <w:p>
            <w:pPr>
              <w:spacing w:line="259" w:lineRule="auto" w:after="20"/>
              <w:jc w:val="center"/>
            </w:pPr>
            <w:r>
              <w:rPr>
                <w:sz w:val="16"/>
              </w:rPr>
              <w:t>混合整数线性规划</w:t>
            </w:r>
          </w:p>
        </w:tc>
        <w:tc>
          <w:tcPr>
            <w:tcW w:type="dxa" w:w="4752"/>
            <w:shd w:fill="F3F7FC"/>
            <w:vAlign w:val="center"/>
          </w:tcPr>
          <w:p>
            <w:pPr>
              <w:spacing w:line="259" w:lineRule="auto" w:after="20"/>
              <w:jc w:val="center"/>
            </w:pPr>
            <w:r>
              <w:rPr>
                <w:sz w:val="16"/>
              </w:rPr>
              <w:t>在预算和关联等约束下，由模型确定关键词及投入金额</w:t>
            </w:r>
          </w:p>
        </w:tc>
        <w:tc>
          <w:tcPr>
            <w:tcW w:type="dxa" w:w="1872"/>
            <w:shd w:fill="F3F7FC"/>
            <w:vAlign w:val="center"/>
          </w:tcPr>
          <w:p>
            <w:pPr>
              <w:spacing w:line="259" w:lineRule="auto" w:after="20"/>
              <w:jc w:val="center"/>
            </w:pPr>
            <w:r>
              <w:rPr>
                <w:sz w:val="16"/>
              </w:rPr>
              <w:t>优化方案</w:t>
            </w:r>
          </w:p>
        </w:tc>
      </w:tr>
    </w:tbl>
    <w:p>
      <w:pPr>
        <w:spacing w:after="0"/>
      </w:pPr>
    </w:p>
    <w:p>
      <w:pPr>
        <w:pStyle w:val="Heading1"/>
      </w:pPr>
      <w:r>
        <w:t>二 历史比例分配模型</w:t>
      </w:r>
    </w:p>
    <w:p>
      <w:pPr>
        <w:pStyle w:val="Heading2"/>
      </w:pPr>
      <w:r>
        <w:t>2.1 历史消费比例</w:t>
      </w:r>
    </w:p>
    <w:p>
      <w:r>
        <w:t>设关键词i属于投放单元j，其2025年历史消费额为Cᵢ；投放单元j的历史总消费额为所有所属关键词消费额之和。关键词i在该单元中的历史消费比例定义为：</w:t>
      </w:r>
    </w:p>
    <w:p>
      <w:pPr>
        <w:spacing w:before="80" w:after="80"/>
        <w:jc w:val="center"/>
      </w:pPr>
      <w:r>
        <w:rPr>
          <w:rFonts w:ascii="Cambria Math" w:hAnsi="Cambria Math"/>
          <w:sz w:val="24"/>
        </w:rPr>
        <w:t>wᵢⱼ = Cᵢ / Σₖ∈Iⱼ Cₖ    （1）</w:t>
      </w:r>
    </w:p>
    <w:p>
      <w:r>
        <w:t>式中，Iⱼ为投放单元j中的关键词集合；wᵢⱼ表示关键词i在该单元历史消费中所占的比例。对每个投放单元，所有关键词的历史消费比例之和等于1。消费为0的关键词比例为0，不分配历史基准预算。</w:t>
      </w:r>
    </w:p>
    <w:p>
      <w:pPr>
        <w:pStyle w:val="Heading2"/>
      </w:pPr>
      <w:r>
        <w:t>2.2 当天投入金额</w:t>
      </w:r>
    </w:p>
    <w:p>
      <w:r>
        <w:t>设投放单元j在日期t的预算为Bⱼₜ，则历史比例方案中关键词i的投入为：</w:t>
      </w:r>
    </w:p>
    <w:p>
      <w:pPr>
        <w:spacing w:before="80" w:after="80"/>
        <w:jc w:val="center"/>
      </w:pPr>
      <w:r>
        <w:rPr>
          <w:rFonts w:ascii="Cambria Math" w:hAnsi="Cambria Math"/>
          <w:sz w:val="24"/>
        </w:rPr>
        <w:t>bᵢⱼₜ⁽ᴴ⁾ = Bⱼₜ wᵢⱼ    （2）</w:t>
      </w:r>
    </w:p>
    <w:p>
      <w:r>
        <w:t>上标H表示历史比例方案。基准比较中，Bⱼₜ取Sheet1中该投放单元在目标日期的原实际消费额。因此，历史方案和优化方案每天使用相同预算，不存在“增加预算导致效果提高”的干扰。</w:t>
      </w:r>
    </w:p>
    <w:p>
      <w:pPr>
        <w:pStyle w:val="Heading2"/>
      </w:pPr>
      <w:r>
        <w:t>2.3 历史方案的预期效果</w:t>
      </w:r>
    </w:p>
    <w:p>
      <w:pPr>
        <w:spacing w:before="80" w:after="80"/>
        <w:jc w:val="center"/>
      </w:pPr>
      <w:r>
        <w:rPr>
          <w:rFonts w:ascii="Cambria Math" w:hAnsi="Cambria Math"/>
          <w:sz w:val="24"/>
        </w:rPr>
        <w:t>K̂ᵢⱼₜ⁽ᴴ⁾ = q̄ⱼ ηᵢⱼ θₜ bᵢⱼₜ⁽ᴴ⁾    （3）</w:t>
      </w:r>
    </w:p>
    <w:p>
      <w:pPr>
        <w:spacing w:before="80" w:after="80"/>
        <w:jc w:val="center"/>
      </w:pPr>
      <w:r>
        <w:rPr>
          <w:rFonts w:ascii="Cambria Math" w:hAnsi="Cambria Math"/>
          <w:sz w:val="24"/>
        </w:rPr>
        <w:t>V̂ᵢⱼₜ⁽ᴴ⁾ = dᵢ K̂ᵢⱼₜ⁽ᴴ⁾，     R̂ᵢⱼₜ⁽ᴴ⁾ = ρₜ K̂ᵢⱼₜ⁽ᴴ⁾    （4）</w:t>
      </w:r>
    </w:p>
    <w:p>
      <w:r>
        <w:t>式中，q̄ⱼ为投放单元平均单位投入点击量，ηᵢⱼ为关键词相对点击效率，θₜ为日期修正系数，dᵢ为浏览深度，ρₜ为点击注册率。所有参数与主模型完全相同，保证比较口径一致。</w:t>
      </w:r>
    </w:p>
    <w:p>
      <w:pPr>
        <w:pStyle w:val="Heading2"/>
      </w:pPr>
      <w:r>
        <w:t>2.4 关键词效率的平滑处理</w:t>
      </w:r>
    </w:p>
    <w:p>
      <w:r>
        <w:t>为避免“消费额极小但偶然产生一次点击”的关键词被误判为超高效率词，本文不直接使用原始相对效率，而采用经验贝叶斯收缩。平滑强度C₀取非零关键词消费额的中位数8.06元；随后对平滑效率进行1%—99%分位缩尾。该处理同时用于历史比例方案和优化方案，保证比较口径一致。</w:t>
      </w:r>
    </w:p>
    <w:p>
      <w:pPr>
        <w:spacing w:before="80" w:after="80"/>
        <w:jc w:val="center"/>
      </w:pPr>
      <w:r>
        <w:rPr>
          <w:rFonts w:ascii="Cambria Math" w:hAnsi="Cambria Math"/>
          <w:sz w:val="24"/>
        </w:rPr>
        <w:t>ηᵢⱼ = [Cᵢ/(Cᵢ+C₀)]ηᵢⱼ⁽ʳᵃʷ⁾ + C₀/(Cᵢ+C₀)，   C₀=8.06    （5）</w:t>
      </w:r>
    </w:p>
    <w:p>
      <w:r>
        <w:t>消费证据越少，平滑结果越接近所属推广单元平均水平1；消费证据越充分，越保留关键词自身效率。这样可以抑制小样本偶然性，又不会像C₀=50那样过度压平正常关键词差异。</w:t>
      </w:r>
    </w:p>
    <w:p>
      <w:pPr>
        <w:pStyle w:val="Heading1"/>
      </w:pPr>
      <w:r>
        <w:t>三 具体计算步骤</w:t>
      </w:r>
    </w:p>
    <w:p>
      <w:r>
        <w:rPr>
          <w:b/>
        </w:rPr>
        <w:t xml:space="preserve">1. </w:t>
      </w:r>
      <w:r>
        <w:t>按“方案ID＋推广单元ID”汇总Sheet3中的关键词历史消费额。</w:t>
      </w:r>
    </w:p>
    <w:p>
      <w:r>
        <w:rPr>
          <w:b/>
        </w:rPr>
        <w:t xml:space="preserve">2. </w:t>
      </w:r>
      <w:r>
        <w:t>计算每个关键词在所属投放单元中的历史消费比例wᵢⱼ。</w:t>
      </w:r>
    </w:p>
    <w:p>
      <w:r>
        <w:rPr>
          <w:b/>
        </w:rPr>
        <w:t xml:space="preserve">3. </w:t>
      </w:r>
      <w:r>
        <w:t>从Sheet1读取16个目标日期各投放单元的原实际消费额，作为预算Bⱼₜ。</w:t>
      </w:r>
    </w:p>
    <w:p>
      <w:r>
        <w:rPr>
          <w:b/>
        </w:rPr>
        <w:t xml:space="preserve">4. </w:t>
      </w:r>
      <w:r>
        <w:t>按照式（2）计算各关键词当天投入金额。</w:t>
      </w:r>
    </w:p>
    <w:p>
      <w:r>
        <w:rPr>
          <w:b/>
        </w:rPr>
        <w:t xml:space="preserve">5. </w:t>
      </w:r>
      <w:r>
        <w:t>使用与优化模型相同的点击、浏览和注册参数计算预期效果。</w:t>
      </w:r>
    </w:p>
    <w:p>
      <w:r>
        <w:rPr>
          <w:b/>
        </w:rPr>
        <w:t xml:space="preserve">6. </w:t>
      </w:r>
      <w:r>
        <w:t>分别汇总历史比例方案和混合整数规划方案的投入、点击、注册及单位注册成本。</w:t>
      </w:r>
    </w:p>
    <w:p>
      <w:pPr>
        <w:pStyle w:val="Heading1"/>
      </w:pPr>
      <w:r>
        <w:t>四 逐日对比结果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20"/>
        <w:gridCol w:w="1120"/>
        <w:gridCol w:w="1120"/>
        <w:gridCol w:w="1120"/>
        <w:gridCol w:w="1120"/>
        <w:gridCol w:w="1120"/>
        <w:gridCol w:w="1120"/>
        <w:gridCol w:w="1120"/>
        <w:gridCol w:w="1120"/>
      </w:tblGrid>
      <w:tr>
        <w:tc>
          <w:tcPr>
            <w:tcW w:type="dxa" w:w="936"/>
            <w:shd w:fill="173B67"/>
            <w:vAlign w:val="center"/>
          </w:tcPr>
          <w:p>
            <w:pPr>
              <w:jc w:val="center"/>
            </w:pPr>
            <w:r>
              <w:rPr>
                <w:b/>
                <w:color w:val="FFFFFF"/>
                <w:sz w:val="14"/>
              </w:rPr>
              <w:t>日期</w:t>
            </w:r>
          </w:p>
        </w:tc>
        <w:tc>
          <w:tcPr>
            <w:tcW w:type="dxa" w:w="1152"/>
            <w:shd w:fill="173B67"/>
            <w:vAlign w:val="center"/>
          </w:tcPr>
          <w:p>
            <w:pPr>
              <w:jc w:val="center"/>
            </w:pPr>
            <w:r>
              <w:rPr>
                <w:b/>
                <w:color w:val="FFFFFF"/>
                <w:sz w:val="14"/>
              </w:rPr>
              <w:t>同额预算</w:t>
            </w:r>
          </w:p>
        </w:tc>
        <w:tc>
          <w:tcPr>
            <w:tcW w:type="dxa" w:w="1008"/>
            <w:shd w:fill="173B67"/>
            <w:vAlign w:val="center"/>
          </w:tcPr>
          <w:p>
            <w:pPr>
              <w:jc w:val="center"/>
            </w:pPr>
            <w:r>
              <w:rPr>
                <w:b/>
                <w:color w:val="FFFFFF"/>
                <w:sz w:val="14"/>
              </w:rPr>
              <w:t>历史点击</w:t>
            </w:r>
          </w:p>
        </w:tc>
        <w:tc>
          <w:tcPr>
            <w:tcW w:type="dxa" w:w="1008"/>
            <w:shd w:fill="173B67"/>
            <w:vAlign w:val="center"/>
          </w:tcPr>
          <w:p>
            <w:pPr>
              <w:jc w:val="center"/>
            </w:pPr>
            <w:r>
              <w:rPr>
                <w:b/>
                <w:color w:val="FFFFFF"/>
                <w:sz w:val="14"/>
              </w:rPr>
              <w:t>优化点击</w:t>
            </w:r>
          </w:p>
        </w:tc>
        <w:tc>
          <w:tcPr>
            <w:tcW w:type="dxa" w:w="1008"/>
            <w:shd w:fill="173B67"/>
            <w:vAlign w:val="center"/>
          </w:tcPr>
          <w:p>
            <w:pPr>
              <w:jc w:val="center"/>
            </w:pPr>
            <w:r>
              <w:rPr>
                <w:b/>
                <w:color w:val="FFFFFF"/>
                <w:sz w:val="14"/>
              </w:rPr>
              <w:t>历史注册</w:t>
            </w:r>
          </w:p>
        </w:tc>
        <w:tc>
          <w:tcPr>
            <w:tcW w:type="dxa" w:w="1080"/>
            <w:shd w:fill="173B67"/>
            <w:vAlign w:val="center"/>
          </w:tcPr>
          <w:p>
            <w:pPr>
              <w:jc w:val="center"/>
            </w:pPr>
            <w:r>
              <w:rPr>
                <w:b/>
                <w:color w:val="FFFFFF"/>
                <w:sz w:val="14"/>
              </w:rPr>
              <w:t>优化注册</w:t>
            </w:r>
          </w:p>
        </w:tc>
        <w:tc>
          <w:tcPr>
            <w:tcW w:type="dxa" w:w="1037"/>
            <w:shd w:fill="173B67"/>
            <w:vAlign w:val="center"/>
          </w:tcPr>
          <w:p>
            <w:pPr>
              <w:jc w:val="center"/>
            </w:pPr>
            <w:r>
              <w:rPr>
                <w:b/>
                <w:color w:val="FFFFFF"/>
                <w:sz w:val="14"/>
              </w:rPr>
              <w:t>历史成本</w:t>
            </w:r>
          </w:p>
        </w:tc>
        <w:tc>
          <w:tcPr>
            <w:tcW w:type="dxa" w:w="1037"/>
            <w:shd w:fill="173B67"/>
            <w:vAlign w:val="center"/>
          </w:tcPr>
          <w:p>
            <w:pPr>
              <w:jc w:val="center"/>
            </w:pPr>
            <w:r>
              <w:rPr>
                <w:b/>
                <w:color w:val="FFFFFF"/>
                <w:sz w:val="14"/>
              </w:rPr>
              <w:t>优化成本</w:t>
            </w:r>
          </w:p>
        </w:tc>
        <w:tc>
          <w:tcPr>
            <w:tcW w:type="dxa" w:w="1037"/>
            <w:shd w:fill="173B67"/>
            <w:vAlign w:val="center"/>
          </w:tcPr>
          <w:p>
            <w:pPr>
              <w:jc w:val="center"/>
            </w:pPr>
            <w:r>
              <w:rPr>
                <w:b/>
                <w:color w:val="FFFFFF"/>
                <w:sz w:val="14"/>
              </w:rPr>
              <w:t>注册提升</w:t>
            </w:r>
          </w:p>
        </w:tc>
      </w:tr>
      <w:tr>
        <w:tc>
          <w:tcPr>
            <w:tcW w:type="dxa" w:w="936"/>
            <w:shd w:fill="FFFFFF"/>
            <w:vAlign w:val="center"/>
          </w:tcPr>
          <w:p>
            <w:pPr>
              <w:spacing w:line="259" w:lineRule="auto" w:after="20"/>
              <w:jc w:val="center"/>
            </w:pPr>
            <w:r>
              <w:rPr>
                <w:sz w:val="14"/>
              </w:rPr>
              <w:t>02-01</w:t>
            </w:r>
          </w:p>
        </w:tc>
        <w:tc>
          <w:tcPr>
            <w:tcW w:type="dxa" w:w="1152"/>
            <w:shd w:fill="FFFFFF"/>
            <w:vAlign w:val="center"/>
          </w:tcPr>
          <w:p>
            <w:pPr>
              <w:spacing w:line="259" w:lineRule="auto" w:after="20"/>
              <w:jc w:val="center"/>
            </w:pPr>
            <w:r>
              <w:rPr>
                <w:sz w:val="14"/>
              </w:rPr>
              <w:t>803.04</w:t>
            </w:r>
          </w:p>
        </w:tc>
        <w:tc>
          <w:tcPr>
            <w:tcW w:type="dxa" w:w="1008"/>
            <w:shd w:fill="FFFFFF"/>
            <w:vAlign w:val="center"/>
          </w:tcPr>
          <w:p>
            <w:pPr>
              <w:spacing w:line="259" w:lineRule="auto" w:after="20"/>
              <w:jc w:val="center"/>
            </w:pPr>
            <w:r>
              <w:rPr>
                <w:sz w:val="14"/>
              </w:rPr>
              <w:t>313</w:t>
            </w:r>
          </w:p>
        </w:tc>
        <w:tc>
          <w:tcPr>
            <w:tcW w:type="dxa" w:w="1008"/>
            <w:shd w:fill="FFFFFF"/>
            <w:vAlign w:val="center"/>
          </w:tcPr>
          <w:p>
            <w:pPr>
              <w:spacing w:line="259" w:lineRule="auto" w:after="20"/>
              <w:jc w:val="center"/>
            </w:pPr>
            <w:r>
              <w:rPr>
                <w:sz w:val="14"/>
              </w:rPr>
              <w:t>438</w:t>
            </w:r>
          </w:p>
        </w:tc>
        <w:tc>
          <w:tcPr>
            <w:tcW w:type="dxa" w:w="1008"/>
            <w:shd w:fill="FFFFFF"/>
            <w:vAlign w:val="center"/>
          </w:tcPr>
          <w:p>
            <w:pPr>
              <w:spacing w:line="259" w:lineRule="auto" w:after="20"/>
              <w:jc w:val="center"/>
            </w:pPr>
            <w:r>
              <w:rPr>
                <w:sz w:val="14"/>
              </w:rPr>
              <w:t>43</w:t>
            </w:r>
          </w:p>
        </w:tc>
        <w:tc>
          <w:tcPr>
            <w:tcW w:type="dxa" w:w="1080"/>
            <w:shd w:fill="FFFFFF"/>
            <w:vAlign w:val="center"/>
          </w:tcPr>
          <w:p>
            <w:pPr>
              <w:spacing w:line="259" w:lineRule="auto" w:after="20"/>
              <w:jc w:val="center"/>
            </w:pPr>
            <w:r>
              <w:rPr>
                <w:sz w:val="14"/>
              </w:rPr>
              <w:t>60.2</w:t>
            </w:r>
          </w:p>
        </w:tc>
        <w:tc>
          <w:tcPr>
            <w:tcW w:type="dxa" w:w="1037"/>
            <w:shd w:fill="FFFFFF"/>
            <w:vAlign w:val="center"/>
          </w:tcPr>
          <w:p>
            <w:pPr>
              <w:spacing w:line="259" w:lineRule="auto" w:after="20"/>
              <w:jc w:val="center"/>
            </w:pPr>
            <w:r>
              <w:rPr>
                <w:sz w:val="14"/>
              </w:rPr>
              <w:t>18.68</w:t>
            </w:r>
          </w:p>
        </w:tc>
        <w:tc>
          <w:tcPr>
            <w:tcW w:type="dxa" w:w="1037"/>
            <w:shd w:fill="FFFFFF"/>
            <w:vAlign w:val="center"/>
          </w:tcPr>
          <w:p>
            <w:pPr>
              <w:spacing w:line="259" w:lineRule="auto" w:after="20"/>
              <w:jc w:val="center"/>
            </w:pPr>
            <w:r>
              <w:rPr>
                <w:sz w:val="14"/>
              </w:rPr>
              <w:t>13.34</w:t>
            </w:r>
          </w:p>
        </w:tc>
        <w:tc>
          <w:tcPr>
            <w:tcW w:type="dxa" w:w="1037"/>
            <w:shd w:fill="FFFFFF"/>
            <w:vAlign w:val="center"/>
          </w:tcPr>
          <w:p>
            <w:pPr>
              <w:spacing w:line="259" w:lineRule="auto" w:after="20"/>
              <w:jc w:val="center"/>
            </w:pPr>
            <w:r>
              <w:rPr>
                <w:sz w:val="14"/>
              </w:rPr>
              <w:t>40.0%</w:t>
            </w:r>
          </w:p>
        </w:tc>
      </w:tr>
      <w:tr>
        <w:tc>
          <w:tcPr>
            <w:tcW w:type="dxa" w:w="936"/>
            <w:shd w:fill="F3F7FC"/>
            <w:vAlign w:val="center"/>
          </w:tcPr>
          <w:p>
            <w:pPr>
              <w:spacing w:line="259" w:lineRule="auto" w:after="20"/>
              <w:jc w:val="center"/>
            </w:pPr>
            <w:r>
              <w:rPr>
                <w:sz w:val="14"/>
              </w:rPr>
              <w:t>02-02</w:t>
            </w:r>
          </w:p>
        </w:tc>
        <w:tc>
          <w:tcPr>
            <w:tcW w:type="dxa" w:w="1152"/>
            <w:shd w:fill="F3F7FC"/>
            <w:vAlign w:val="center"/>
          </w:tcPr>
          <w:p>
            <w:pPr>
              <w:spacing w:line="259" w:lineRule="auto" w:after="20"/>
              <w:jc w:val="center"/>
            </w:pPr>
            <w:r>
              <w:rPr>
                <w:sz w:val="14"/>
              </w:rPr>
              <w:t>1,155.04</w:t>
            </w:r>
          </w:p>
        </w:tc>
        <w:tc>
          <w:tcPr>
            <w:tcW w:type="dxa" w:w="1008"/>
            <w:shd w:fill="F3F7FC"/>
            <w:vAlign w:val="center"/>
          </w:tcPr>
          <w:p>
            <w:pPr>
              <w:spacing w:line="259" w:lineRule="auto" w:after="20"/>
              <w:jc w:val="center"/>
            </w:pPr>
            <w:r>
              <w:rPr>
                <w:sz w:val="14"/>
              </w:rPr>
              <w:t>479</w:t>
            </w:r>
          </w:p>
        </w:tc>
        <w:tc>
          <w:tcPr>
            <w:tcW w:type="dxa" w:w="1008"/>
            <w:shd w:fill="F3F7FC"/>
            <w:vAlign w:val="center"/>
          </w:tcPr>
          <w:p>
            <w:pPr>
              <w:spacing w:line="259" w:lineRule="auto" w:after="20"/>
              <w:jc w:val="center"/>
            </w:pPr>
            <w:r>
              <w:rPr>
                <w:sz w:val="14"/>
              </w:rPr>
              <w:t>663</w:t>
            </w:r>
          </w:p>
        </w:tc>
        <w:tc>
          <w:tcPr>
            <w:tcW w:type="dxa" w:w="1008"/>
            <w:shd w:fill="F3F7FC"/>
            <w:vAlign w:val="center"/>
          </w:tcPr>
          <w:p>
            <w:pPr>
              <w:spacing w:line="259" w:lineRule="auto" w:after="20"/>
              <w:jc w:val="center"/>
            </w:pPr>
            <w:r>
              <w:rPr>
                <w:sz w:val="14"/>
              </w:rPr>
              <w:t>56</w:t>
            </w:r>
          </w:p>
        </w:tc>
        <w:tc>
          <w:tcPr>
            <w:tcW w:type="dxa" w:w="1080"/>
            <w:shd w:fill="F3F7FC"/>
            <w:vAlign w:val="center"/>
          </w:tcPr>
          <w:p>
            <w:pPr>
              <w:spacing w:line="259" w:lineRule="auto" w:after="20"/>
              <w:jc w:val="center"/>
            </w:pPr>
            <w:r>
              <w:rPr>
                <w:sz w:val="14"/>
              </w:rPr>
              <w:t>77.5</w:t>
            </w:r>
          </w:p>
        </w:tc>
        <w:tc>
          <w:tcPr>
            <w:tcW w:type="dxa" w:w="1037"/>
            <w:shd w:fill="F3F7FC"/>
            <w:vAlign w:val="center"/>
          </w:tcPr>
          <w:p>
            <w:pPr>
              <w:spacing w:line="259" w:lineRule="auto" w:after="20"/>
              <w:jc w:val="center"/>
            </w:pPr>
            <w:r>
              <w:rPr>
                <w:sz w:val="14"/>
              </w:rPr>
              <w:t>20.63</w:t>
            </w:r>
          </w:p>
        </w:tc>
        <w:tc>
          <w:tcPr>
            <w:tcW w:type="dxa" w:w="1037"/>
            <w:shd w:fill="F3F7FC"/>
            <w:vAlign w:val="center"/>
          </w:tcPr>
          <w:p>
            <w:pPr>
              <w:spacing w:line="259" w:lineRule="auto" w:after="20"/>
              <w:jc w:val="center"/>
            </w:pPr>
            <w:r>
              <w:rPr>
                <w:sz w:val="14"/>
              </w:rPr>
              <w:t>14.89</w:t>
            </w:r>
          </w:p>
        </w:tc>
        <w:tc>
          <w:tcPr>
            <w:tcW w:type="dxa" w:w="1037"/>
            <w:shd w:fill="F3F7FC"/>
            <w:vAlign w:val="center"/>
          </w:tcPr>
          <w:p>
            <w:pPr>
              <w:spacing w:line="259" w:lineRule="auto" w:after="20"/>
              <w:jc w:val="center"/>
            </w:pPr>
            <w:r>
              <w:rPr>
                <w:sz w:val="14"/>
              </w:rPr>
              <w:t>38.5%</w:t>
            </w:r>
          </w:p>
        </w:tc>
      </w:tr>
      <w:tr>
        <w:tc>
          <w:tcPr>
            <w:tcW w:type="dxa" w:w="936"/>
            <w:shd w:fill="FFFFFF"/>
            <w:vAlign w:val="center"/>
          </w:tcPr>
          <w:p>
            <w:pPr>
              <w:spacing w:line="259" w:lineRule="auto" w:after="20"/>
              <w:jc w:val="center"/>
            </w:pPr>
            <w:r>
              <w:rPr>
                <w:sz w:val="14"/>
              </w:rPr>
              <w:t>02-03</w:t>
            </w:r>
          </w:p>
        </w:tc>
        <w:tc>
          <w:tcPr>
            <w:tcW w:type="dxa" w:w="1152"/>
            <w:shd w:fill="FFFFFF"/>
            <w:vAlign w:val="center"/>
          </w:tcPr>
          <w:p>
            <w:pPr>
              <w:spacing w:line="259" w:lineRule="auto" w:after="20"/>
              <w:jc w:val="center"/>
            </w:pPr>
            <w:r>
              <w:rPr>
                <w:sz w:val="14"/>
              </w:rPr>
              <w:t>1,403.28</w:t>
            </w:r>
          </w:p>
        </w:tc>
        <w:tc>
          <w:tcPr>
            <w:tcW w:type="dxa" w:w="1008"/>
            <w:shd w:fill="FFFFFF"/>
            <w:vAlign w:val="center"/>
          </w:tcPr>
          <w:p>
            <w:pPr>
              <w:spacing w:line="259" w:lineRule="auto" w:after="20"/>
              <w:jc w:val="center"/>
            </w:pPr>
            <w:r>
              <w:rPr>
                <w:sz w:val="14"/>
              </w:rPr>
              <w:t>586</w:t>
            </w:r>
          </w:p>
        </w:tc>
        <w:tc>
          <w:tcPr>
            <w:tcW w:type="dxa" w:w="1008"/>
            <w:shd w:fill="FFFFFF"/>
            <w:vAlign w:val="center"/>
          </w:tcPr>
          <w:p>
            <w:pPr>
              <w:spacing w:line="259" w:lineRule="auto" w:after="20"/>
              <w:jc w:val="center"/>
            </w:pPr>
            <w:r>
              <w:rPr>
                <w:sz w:val="14"/>
              </w:rPr>
              <w:t>773</w:t>
            </w:r>
          </w:p>
        </w:tc>
        <w:tc>
          <w:tcPr>
            <w:tcW w:type="dxa" w:w="1008"/>
            <w:shd w:fill="FFFFFF"/>
            <w:vAlign w:val="center"/>
          </w:tcPr>
          <w:p>
            <w:pPr>
              <w:spacing w:line="259" w:lineRule="auto" w:after="20"/>
              <w:jc w:val="center"/>
            </w:pPr>
            <w:r>
              <w:rPr>
                <w:sz w:val="14"/>
              </w:rPr>
              <w:t>72</w:t>
            </w:r>
          </w:p>
        </w:tc>
        <w:tc>
          <w:tcPr>
            <w:tcW w:type="dxa" w:w="1080"/>
            <w:shd w:fill="FFFFFF"/>
            <w:vAlign w:val="center"/>
          </w:tcPr>
          <w:p>
            <w:pPr>
              <w:spacing w:line="259" w:lineRule="auto" w:after="20"/>
              <w:jc w:val="center"/>
            </w:pPr>
            <w:r>
              <w:rPr>
                <w:sz w:val="14"/>
              </w:rPr>
              <w:t>95.0</w:t>
            </w:r>
          </w:p>
        </w:tc>
        <w:tc>
          <w:tcPr>
            <w:tcW w:type="dxa" w:w="1037"/>
            <w:shd w:fill="FFFFFF"/>
            <w:vAlign w:val="center"/>
          </w:tcPr>
          <w:p>
            <w:pPr>
              <w:spacing w:line="259" w:lineRule="auto" w:after="20"/>
              <w:jc w:val="center"/>
            </w:pPr>
            <w:r>
              <w:rPr>
                <w:sz w:val="14"/>
              </w:rPr>
              <w:t>19.49</w:t>
            </w:r>
          </w:p>
        </w:tc>
        <w:tc>
          <w:tcPr>
            <w:tcW w:type="dxa" w:w="1037"/>
            <w:shd w:fill="FFFFFF"/>
            <w:vAlign w:val="center"/>
          </w:tcPr>
          <w:p>
            <w:pPr>
              <w:spacing w:line="259" w:lineRule="auto" w:after="20"/>
              <w:jc w:val="center"/>
            </w:pPr>
            <w:r>
              <w:rPr>
                <w:sz w:val="14"/>
              </w:rPr>
              <w:t>14.77</w:t>
            </w:r>
          </w:p>
        </w:tc>
        <w:tc>
          <w:tcPr>
            <w:tcW w:type="dxa" w:w="1037"/>
            <w:shd w:fill="FFFFFF"/>
            <w:vAlign w:val="center"/>
          </w:tcPr>
          <w:p>
            <w:pPr>
              <w:spacing w:line="259" w:lineRule="auto" w:after="20"/>
              <w:jc w:val="center"/>
            </w:pPr>
            <w:r>
              <w:rPr>
                <w:sz w:val="14"/>
              </w:rPr>
              <w:t>31.9%</w:t>
            </w:r>
          </w:p>
        </w:tc>
      </w:tr>
      <w:tr>
        <w:tc>
          <w:tcPr>
            <w:tcW w:type="dxa" w:w="936"/>
            <w:shd w:fill="F3F7FC"/>
            <w:vAlign w:val="center"/>
          </w:tcPr>
          <w:p>
            <w:pPr>
              <w:spacing w:line="259" w:lineRule="auto" w:after="20"/>
              <w:jc w:val="center"/>
            </w:pPr>
            <w:r>
              <w:rPr>
                <w:sz w:val="14"/>
              </w:rPr>
              <w:t>02-04</w:t>
            </w:r>
          </w:p>
        </w:tc>
        <w:tc>
          <w:tcPr>
            <w:tcW w:type="dxa" w:w="1152"/>
            <w:shd w:fill="F3F7FC"/>
            <w:vAlign w:val="center"/>
          </w:tcPr>
          <w:p>
            <w:pPr>
              <w:spacing w:line="259" w:lineRule="auto" w:after="20"/>
              <w:jc w:val="center"/>
            </w:pPr>
            <w:r>
              <w:rPr>
                <w:sz w:val="14"/>
              </w:rPr>
              <w:t>1,806.39</w:t>
            </w:r>
          </w:p>
        </w:tc>
        <w:tc>
          <w:tcPr>
            <w:tcW w:type="dxa" w:w="1008"/>
            <w:shd w:fill="F3F7FC"/>
            <w:vAlign w:val="center"/>
          </w:tcPr>
          <w:p>
            <w:pPr>
              <w:spacing w:line="259" w:lineRule="auto" w:after="20"/>
              <w:jc w:val="center"/>
            </w:pPr>
            <w:r>
              <w:rPr>
                <w:sz w:val="14"/>
              </w:rPr>
              <w:t>739</w:t>
            </w:r>
          </w:p>
        </w:tc>
        <w:tc>
          <w:tcPr>
            <w:tcW w:type="dxa" w:w="1008"/>
            <w:shd w:fill="F3F7FC"/>
            <w:vAlign w:val="center"/>
          </w:tcPr>
          <w:p>
            <w:pPr>
              <w:spacing w:line="259" w:lineRule="auto" w:after="20"/>
              <w:jc w:val="center"/>
            </w:pPr>
            <w:r>
              <w:rPr>
                <w:sz w:val="14"/>
              </w:rPr>
              <w:t>976</w:t>
            </w:r>
          </w:p>
        </w:tc>
        <w:tc>
          <w:tcPr>
            <w:tcW w:type="dxa" w:w="1008"/>
            <w:shd w:fill="F3F7FC"/>
            <w:vAlign w:val="center"/>
          </w:tcPr>
          <w:p>
            <w:pPr>
              <w:spacing w:line="259" w:lineRule="auto" w:after="20"/>
              <w:jc w:val="center"/>
            </w:pPr>
            <w:r>
              <w:rPr>
                <w:sz w:val="14"/>
              </w:rPr>
              <w:t>92</w:t>
            </w:r>
          </w:p>
        </w:tc>
        <w:tc>
          <w:tcPr>
            <w:tcW w:type="dxa" w:w="1080"/>
            <w:shd w:fill="F3F7FC"/>
            <w:vAlign w:val="center"/>
          </w:tcPr>
          <w:p>
            <w:pPr>
              <w:spacing w:line="259" w:lineRule="auto" w:after="20"/>
              <w:jc w:val="center"/>
            </w:pPr>
            <w:r>
              <w:rPr>
                <w:sz w:val="14"/>
              </w:rPr>
              <w:t>121.5</w:t>
            </w:r>
          </w:p>
        </w:tc>
        <w:tc>
          <w:tcPr>
            <w:tcW w:type="dxa" w:w="1037"/>
            <w:shd w:fill="F3F7FC"/>
            <w:vAlign w:val="center"/>
          </w:tcPr>
          <w:p>
            <w:pPr>
              <w:spacing w:line="259" w:lineRule="auto" w:after="20"/>
              <w:jc w:val="center"/>
            </w:pPr>
            <w:r>
              <w:rPr>
                <w:sz w:val="14"/>
              </w:rPr>
              <w:t>19.63</w:t>
            </w:r>
          </w:p>
        </w:tc>
        <w:tc>
          <w:tcPr>
            <w:tcW w:type="dxa" w:w="1037"/>
            <w:shd w:fill="F3F7FC"/>
            <w:vAlign w:val="center"/>
          </w:tcPr>
          <w:p>
            <w:pPr>
              <w:spacing w:line="259" w:lineRule="auto" w:after="20"/>
              <w:jc w:val="center"/>
            </w:pPr>
            <w:r>
              <w:rPr>
                <w:sz w:val="14"/>
              </w:rPr>
              <w:t>14.86</w:t>
            </w:r>
          </w:p>
        </w:tc>
        <w:tc>
          <w:tcPr>
            <w:tcW w:type="dxa" w:w="1037"/>
            <w:shd w:fill="F3F7FC"/>
            <w:vAlign w:val="center"/>
          </w:tcPr>
          <w:p>
            <w:pPr>
              <w:spacing w:line="259" w:lineRule="auto" w:after="20"/>
              <w:jc w:val="center"/>
            </w:pPr>
            <w:r>
              <w:rPr>
                <w:sz w:val="14"/>
              </w:rPr>
              <w:t>32.1%</w:t>
            </w:r>
          </w:p>
        </w:tc>
      </w:tr>
      <w:tr>
        <w:tc>
          <w:tcPr>
            <w:tcW w:type="dxa" w:w="936"/>
            <w:shd w:fill="FFFFFF"/>
            <w:vAlign w:val="center"/>
          </w:tcPr>
          <w:p>
            <w:pPr>
              <w:spacing w:line="259" w:lineRule="auto" w:after="20"/>
              <w:jc w:val="center"/>
            </w:pPr>
            <w:r>
              <w:rPr>
                <w:sz w:val="14"/>
              </w:rPr>
              <w:t>02-05</w:t>
            </w:r>
          </w:p>
        </w:tc>
        <w:tc>
          <w:tcPr>
            <w:tcW w:type="dxa" w:w="1152"/>
            <w:shd w:fill="FFFFFF"/>
            <w:vAlign w:val="center"/>
          </w:tcPr>
          <w:p>
            <w:pPr>
              <w:spacing w:line="259" w:lineRule="auto" w:after="20"/>
              <w:jc w:val="center"/>
            </w:pPr>
            <w:r>
              <w:rPr>
                <w:sz w:val="14"/>
              </w:rPr>
              <w:t>2,007.82</w:t>
            </w:r>
          </w:p>
        </w:tc>
        <w:tc>
          <w:tcPr>
            <w:tcW w:type="dxa" w:w="1008"/>
            <w:shd w:fill="FFFFFF"/>
            <w:vAlign w:val="center"/>
          </w:tcPr>
          <w:p>
            <w:pPr>
              <w:spacing w:line="259" w:lineRule="auto" w:after="20"/>
              <w:jc w:val="center"/>
            </w:pPr>
            <w:r>
              <w:rPr>
                <w:sz w:val="14"/>
              </w:rPr>
              <w:t>834</w:t>
            </w:r>
          </w:p>
        </w:tc>
        <w:tc>
          <w:tcPr>
            <w:tcW w:type="dxa" w:w="1008"/>
            <w:shd w:fill="FFFFFF"/>
            <w:vAlign w:val="center"/>
          </w:tcPr>
          <w:p>
            <w:pPr>
              <w:spacing w:line="259" w:lineRule="auto" w:after="20"/>
              <w:jc w:val="center"/>
            </w:pPr>
            <w:r>
              <w:rPr>
                <w:sz w:val="14"/>
              </w:rPr>
              <w:t>1,107</w:t>
            </w:r>
          </w:p>
        </w:tc>
        <w:tc>
          <w:tcPr>
            <w:tcW w:type="dxa" w:w="1008"/>
            <w:shd w:fill="FFFFFF"/>
            <w:vAlign w:val="center"/>
          </w:tcPr>
          <w:p>
            <w:pPr>
              <w:spacing w:line="259" w:lineRule="auto" w:after="20"/>
              <w:jc w:val="center"/>
            </w:pPr>
            <w:r>
              <w:rPr>
                <w:sz w:val="14"/>
              </w:rPr>
              <w:t>125</w:t>
            </w:r>
          </w:p>
        </w:tc>
        <w:tc>
          <w:tcPr>
            <w:tcW w:type="dxa" w:w="1080"/>
            <w:shd w:fill="FFFFFF"/>
            <w:vAlign w:val="center"/>
          </w:tcPr>
          <w:p>
            <w:pPr>
              <w:spacing w:line="259" w:lineRule="auto" w:after="20"/>
              <w:jc w:val="center"/>
            </w:pPr>
            <w:r>
              <w:rPr>
                <w:sz w:val="14"/>
              </w:rPr>
              <w:t>165.9</w:t>
            </w:r>
          </w:p>
        </w:tc>
        <w:tc>
          <w:tcPr>
            <w:tcW w:type="dxa" w:w="1037"/>
            <w:shd w:fill="FFFFFF"/>
            <w:vAlign w:val="center"/>
          </w:tcPr>
          <w:p>
            <w:pPr>
              <w:spacing w:line="259" w:lineRule="auto" w:after="20"/>
              <w:jc w:val="center"/>
            </w:pPr>
            <w:r>
              <w:rPr>
                <w:sz w:val="14"/>
              </w:rPr>
              <w:t>16.06</w:t>
            </w:r>
          </w:p>
        </w:tc>
        <w:tc>
          <w:tcPr>
            <w:tcW w:type="dxa" w:w="1037"/>
            <w:shd w:fill="FFFFFF"/>
            <w:vAlign w:val="center"/>
          </w:tcPr>
          <w:p>
            <w:pPr>
              <w:spacing w:line="259" w:lineRule="auto" w:after="20"/>
              <w:jc w:val="center"/>
            </w:pPr>
            <w:r>
              <w:rPr>
                <w:sz w:val="14"/>
              </w:rPr>
              <w:t>12.11</w:t>
            </w:r>
          </w:p>
        </w:tc>
        <w:tc>
          <w:tcPr>
            <w:tcW w:type="dxa" w:w="1037"/>
            <w:shd w:fill="FFFFFF"/>
            <w:vAlign w:val="center"/>
          </w:tcPr>
          <w:p>
            <w:pPr>
              <w:spacing w:line="259" w:lineRule="auto" w:after="20"/>
              <w:jc w:val="center"/>
            </w:pPr>
            <w:r>
              <w:rPr>
                <w:sz w:val="14"/>
              </w:rPr>
              <w:t>32.7%</w:t>
            </w:r>
          </w:p>
        </w:tc>
      </w:tr>
      <w:tr>
        <w:tc>
          <w:tcPr>
            <w:tcW w:type="dxa" w:w="936"/>
            <w:shd w:fill="F3F7FC"/>
            <w:vAlign w:val="center"/>
          </w:tcPr>
          <w:p>
            <w:pPr>
              <w:spacing w:line="259" w:lineRule="auto" w:after="20"/>
              <w:jc w:val="center"/>
            </w:pPr>
            <w:r>
              <w:rPr>
                <w:sz w:val="14"/>
              </w:rPr>
              <w:t>02-06</w:t>
            </w:r>
          </w:p>
        </w:tc>
        <w:tc>
          <w:tcPr>
            <w:tcW w:type="dxa" w:w="1152"/>
            <w:shd w:fill="F3F7FC"/>
            <w:vAlign w:val="center"/>
          </w:tcPr>
          <w:p>
            <w:pPr>
              <w:spacing w:line="259" w:lineRule="auto" w:after="20"/>
              <w:jc w:val="center"/>
            </w:pPr>
            <w:r>
              <w:rPr>
                <w:sz w:val="14"/>
              </w:rPr>
              <w:t>2,043.97</w:t>
            </w:r>
          </w:p>
        </w:tc>
        <w:tc>
          <w:tcPr>
            <w:tcW w:type="dxa" w:w="1008"/>
            <w:shd w:fill="F3F7FC"/>
            <w:vAlign w:val="center"/>
          </w:tcPr>
          <w:p>
            <w:pPr>
              <w:spacing w:line="259" w:lineRule="auto" w:after="20"/>
              <w:jc w:val="center"/>
            </w:pPr>
            <w:r>
              <w:rPr>
                <w:sz w:val="14"/>
              </w:rPr>
              <w:t>785</w:t>
            </w:r>
          </w:p>
        </w:tc>
        <w:tc>
          <w:tcPr>
            <w:tcW w:type="dxa" w:w="1008"/>
            <w:shd w:fill="F3F7FC"/>
            <w:vAlign w:val="center"/>
          </w:tcPr>
          <w:p>
            <w:pPr>
              <w:spacing w:line="259" w:lineRule="auto" w:after="20"/>
              <w:jc w:val="center"/>
            </w:pPr>
            <w:r>
              <w:rPr>
                <w:sz w:val="14"/>
              </w:rPr>
              <w:t>1,037</w:t>
            </w:r>
          </w:p>
        </w:tc>
        <w:tc>
          <w:tcPr>
            <w:tcW w:type="dxa" w:w="1008"/>
            <w:shd w:fill="F3F7FC"/>
            <w:vAlign w:val="center"/>
          </w:tcPr>
          <w:p>
            <w:pPr>
              <w:spacing w:line="259" w:lineRule="auto" w:after="20"/>
              <w:jc w:val="center"/>
            </w:pPr>
            <w:r>
              <w:rPr>
                <w:sz w:val="14"/>
              </w:rPr>
              <w:t>110</w:t>
            </w:r>
          </w:p>
        </w:tc>
        <w:tc>
          <w:tcPr>
            <w:tcW w:type="dxa" w:w="1080"/>
            <w:shd w:fill="F3F7FC"/>
            <w:vAlign w:val="center"/>
          </w:tcPr>
          <w:p>
            <w:pPr>
              <w:spacing w:line="259" w:lineRule="auto" w:after="20"/>
              <w:jc w:val="center"/>
            </w:pPr>
            <w:r>
              <w:rPr>
                <w:sz w:val="14"/>
              </w:rPr>
              <w:t>145.4</w:t>
            </w:r>
          </w:p>
        </w:tc>
        <w:tc>
          <w:tcPr>
            <w:tcW w:type="dxa" w:w="1037"/>
            <w:shd w:fill="F3F7FC"/>
            <w:vAlign w:val="center"/>
          </w:tcPr>
          <w:p>
            <w:pPr>
              <w:spacing w:line="259" w:lineRule="auto" w:after="20"/>
              <w:jc w:val="center"/>
            </w:pPr>
            <w:r>
              <w:rPr>
                <w:sz w:val="14"/>
              </w:rPr>
              <w:t>18.58</w:t>
            </w:r>
          </w:p>
        </w:tc>
        <w:tc>
          <w:tcPr>
            <w:tcW w:type="dxa" w:w="1037"/>
            <w:shd w:fill="F3F7FC"/>
            <w:vAlign w:val="center"/>
          </w:tcPr>
          <w:p>
            <w:pPr>
              <w:spacing w:line="259" w:lineRule="auto" w:after="20"/>
              <w:jc w:val="center"/>
            </w:pPr>
            <w:r>
              <w:rPr>
                <w:sz w:val="14"/>
              </w:rPr>
              <w:t>14.06</w:t>
            </w:r>
          </w:p>
        </w:tc>
        <w:tc>
          <w:tcPr>
            <w:tcW w:type="dxa" w:w="1037"/>
            <w:shd w:fill="F3F7FC"/>
            <w:vAlign w:val="center"/>
          </w:tcPr>
          <w:p>
            <w:pPr>
              <w:spacing w:line="259" w:lineRule="auto" w:after="20"/>
              <w:jc w:val="center"/>
            </w:pPr>
            <w:r>
              <w:rPr>
                <w:sz w:val="14"/>
              </w:rPr>
              <w:t>32.2%</w:t>
            </w:r>
          </w:p>
        </w:tc>
      </w:tr>
      <w:tr>
        <w:tc>
          <w:tcPr>
            <w:tcW w:type="dxa" w:w="936"/>
            <w:shd w:fill="FFFFFF"/>
            <w:vAlign w:val="center"/>
          </w:tcPr>
          <w:p>
            <w:pPr>
              <w:spacing w:line="259" w:lineRule="auto" w:after="20"/>
              <w:jc w:val="center"/>
            </w:pPr>
            <w:r>
              <w:rPr>
                <w:sz w:val="14"/>
              </w:rPr>
              <w:t>02-07</w:t>
            </w:r>
          </w:p>
        </w:tc>
        <w:tc>
          <w:tcPr>
            <w:tcW w:type="dxa" w:w="1152"/>
            <w:shd w:fill="FFFFFF"/>
            <w:vAlign w:val="center"/>
          </w:tcPr>
          <w:p>
            <w:pPr>
              <w:spacing w:line="259" w:lineRule="auto" w:after="20"/>
              <w:jc w:val="center"/>
            </w:pPr>
            <w:r>
              <w:rPr>
                <w:sz w:val="14"/>
              </w:rPr>
              <w:t>2,523.34</w:t>
            </w:r>
          </w:p>
        </w:tc>
        <w:tc>
          <w:tcPr>
            <w:tcW w:type="dxa" w:w="1008"/>
            <w:shd w:fill="FFFFFF"/>
            <w:vAlign w:val="center"/>
          </w:tcPr>
          <w:p>
            <w:pPr>
              <w:spacing w:line="259" w:lineRule="auto" w:after="20"/>
              <w:jc w:val="center"/>
            </w:pPr>
            <w:r>
              <w:rPr>
                <w:sz w:val="14"/>
              </w:rPr>
              <w:t>998</w:t>
            </w:r>
          </w:p>
        </w:tc>
        <w:tc>
          <w:tcPr>
            <w:tcW w:type="dxa" w:w="1008"/>
            <w:shd w:fill="FFFFFF"/>
            <w:vAlign w:val="center"/>
          </w:tcPr>
          <w:p>
            <w:pPr>
              <w:spacing w:line="259" w:lineRule="auto" w:after="20"/>
              <w:jc w:val="center"/>
            </w:pPr>
            <w:r>
              <w:rPr>
                <w:sz w:val="14"/>
              </w:rPr>
              <w:t>1,369</w:t>
            </w:r>
          </w:p>
        </w:tc>
        <w:tc>
          <w:tcPr>
            <w:tcW w:type="dxa" w:w="1008"/>
            <w:shd w:fill="FFFFFF"/>
            <w:vAlign w:val="center"/>
          </w:tcPr>
          <w:p>
            <w:pPr>
              <w:spacing w:line="259" w:lineRule="auto" w:after="20"/>
              <w:jc w:val="center"/>
            </w:pPr>
            <w:r>
              <w:rPr>
                <w:sz w:val="14"/>
              </w:rPr>
              <w:t>112</w:t>
            </w:r>
          </w:p>
        </w:tc>
        <w:tc>
          <w:tcPr>
            <w:tcW w:type="dxa" w:w="1080"/>
            <w:shd w:fill="FFFFFF"/>
            <w:vAlign w:val="center"/>
          </w:tcPr>
          <w:p>
            <w:pPr>
              <w:spacing w:line="259" w:lineRule="auto" w:after="20"/>
              <w:jc w:val="center"/>
            </w:pPr>
            <w:r>
              <w:rPr>
                <w:sz w:val="14"/>
              </w:rPr>
              <w:t>153.7</w:t>
            </w:r>
          </w:p>
        </w:tc>
        <w:tc>
          <w:tcPr>
            <w:tcW w:type="dxa" w:w="1037"/>
            <w:shd w:fill="FFFFFF"/>
            <w:vAlign w:val="center"/>
          </w:tcPr>
          <w:p>
            <w:pPr>
              <w:spacing w:line="259" w:lineRule="auto" w:after="20"/>
              <w:jc w:val="center"/>
            </w:pPr>
            <w:r>
              <w:rPr>
                <w:sz w:val="14"/>
              </w:rPr>
              <w:t>22.53</w:t>
            </w:r>
          </w:p>
        </w:tc>
        <w:tc>
          <w:tcPr>
            <w:tcW w:type="dxa" w:w="1037"/>
            <w:shd w:fill="FFFFFF"/>
            <w:vAlign w:val="center"/>
          </w:tcPr>
          <w:p>
            <w:pPr>
              <w:spacing w:line="259" w:lineRule="auto" w:after="20"/>
              <w:jc w:val="center"/>
            </w:pPr>
            <w:r>
              <w:rPr>
                <w:sz w:val="14"/>
              </w:rPr>
              <w:t>16.42</w:t>
            </w:r>
          </w:p>
        </w:tc>
        <w:tc>
          <w:tcPr>
            <w:tcW w:type="dxa" w:w="1037"/>
            <w:shd w:fill="FFFFFF"/>
            <w:vAlign w:val="center"/>
          </w:tcPr>
          <w:p>
            <w:pPr>
              <w:spacing w:line="259" w:lineRule="auto" w:after="20"/>
              <w:jc w:val="center"/>
            </w:pPr>
            <w:r>
              <w:rPr>
                <w:sz w:val="14"/>
              </w:rPr>
              <w:t>37.2%</w:t>
            </w:r>
          </w:p>
        </w:tc>
      </w:tr>
      <w:tr>
        <w:tc>
          <w:tcPr>
            <w:tcW w:type="dxa" w:w="936"/>
            <w:shd w:fill="F3F7FC"/>
            <w:vAlign w:val="center"/>
          </w:tcPr>
          <w:p>
            <w:pPr>
              <w:spacing w:line="259" w:lineRule="auto" w:after="20"/>
              <w:jc w:val="center"/>
            </w:pPr>
            <w:r>
              <w:rPr>
                <w:sz w:val="14"/>
              </w:rPr>
              <w:t>02-08</w:t>
            </w:r>
          </w:p>
        </w:tc>
        <w:tc>
          <w:tcPr>
            <w:tcW w:type="dxa" w:w="1152"/>
            <w:shd w:fill="F3F7FC"/>
            <w:vAlign w:val="center"/>
          </w:tcPr>
          <w:p>
            <w:pPr>
              <w:spacing w:line="259" w:lineRule="auto" w:after="20"/>
              <w:jc w:val="center"/>
            </w:pPr>
            <w:r>
              <w:rPr>
                <w:sz w:val="14"/>
              </w:rPr>
              <w:t>1,938.27</w:t>
            </w:r>
          </w:p>
        </w:tc>
        <w:tc>
          <w:tcPr>
            <w:tcW w:type="dxa" w:w="1008"/>
            <w:shd w:fill="F3F7FC"/>
            <w:vAlign w:val="center"/>
          </w:tcPr>
          <w:p>
            <w:pPr>
              <w:spacing w:line="259" w:lineRule="auto" w:after="20"/>
              <w:jc w:val="center"/>
            </w:pPr>
            <w:r>
              <w:rPr>
                <w:sz w:val="14"/>
              </w:rPr>
              <w:t>921</w:t>
            </w:r>
          </w:p>
        </w:tc>
        <w:tc>
          <w:tcPr>
            <w:tcW w:type="dxa" w:w="1008"/>
            <w:shd w:fill="F3F7FC"/>
            <w:vAlign w:val="center"/>
          </w:tcPr>
          <w:p>
            <w:pPr>
              <w:spacing w:line="259" w:lineRule="auto" w:after="20"/>
              <w:jc w:val="center"/>
            </w:pPr>
            <w:r>
              <w:rPr>
                <w:sz w:val="14"/>
              </w:rPr>
              <w:t>1,299</w:t>
            </w:r>
          </w:p>
        </w:tc>
        <w:tc>
          <w:tcPr>
            <w:tcW w:type="dxa" w:w="1008"/>
            <w:shd w:fill="F3F7FC"/>
            <w:vAlign w:val="center"/>
          </w:tcPr>
          <w:p>
            <w:pPr>
              <w:spacing w:line="259" w:lineRule="auto" w:after="20"/>
              <w:jc w:val="center"/>
            </w:pPr>
            <w:r>
              <w:rPr>
                <w:sz w:val="14"/>
              </w:rPr>
              <w:t>121</w:t>
            </w:r>
          </w:p>
        </w:tc>
        <w:tc>
          <w:tcPr>
            <w:tcW w:type="dxa" w:w="1080"/>
            <w:shd w:fill="F3F7FC"/>
            <w:vAlign w:val="center"/>
          </w:tcPr>
          <w:p>
            <w:pPr>
              <w:spacing w:line="259" w:lineRule="auto" w:after="20"/>
              <w:jc w:val="center"/>
            </w:pPr>
            <w:r>
              <w:rPr>
                <w:sz w:val="14"/>
              </w:rPr>
              <w:t>170.7</w:t>
            </w:r>
          </w:p>
        </w:tc>
        <w:tc>
          <w:tcPr>
            <w:tcW w:type="dxa" w:w="1037"/>
            <w:shd w:fill="F3F7FC"/>
            <w:vAlign w:val="center"/>
          </w:tcPr>
          <w:p>
            <w:pPr>
              <w:spacing w:line="259" w:lineRule="auto" w:after="20"/>
              <w:jc w:val="center"/>
            </w:pPr>
            <w:r>
              <w:rPr>
                <w:sz w:val="14"/>
              </w:rPr>
              <w:t>16.02</w:t>
            </w:r>
          </w:p>
        </w:tc>
        <w:tc>
          <w:tcPr>
            <w:tcW w:type="dxa" w:w="1037"/>
            <w:shd w:fill="F3F7FC"/>
            <w:vAlign w:val="center"/>
          </w:tcPr>
          <w:p>
            <w:pPr>
              <w:spacing w:line="259" w:lineRule="auto" w:after="20"/>
              <w:jc w:val="center"/>
            </w:pPr>
            <w:r>
              <w:rPr>
                <w:sz w:val="14"/>
              </w:rPr>
              <w:t>11.35</w:t>
            </w:r>
          </w:p>
        </w:tc>
        <w:tc>
          <w:tcPr>
            <w:tcW w:type="dxa" w:w="1037"/>
            <w:shd w:fill="F3F7FC"/>
            <w:vAlign w:val="center"/>
          </w:tcPr>
          <w:p>
            <w:pPr>
              <w:spacing w:line="259" w:lineRule="auto" w:after="20"/>
              <w:jc w:val="center"/>
            </w:pPr>
            <w:r>
              <w:rPr>
                <w:sz w:val="14"/>
              </w:rPr>
              <w:t>41.1%</w:t>
            </w:r>
          </w:p>
        </w:tc>
      </w:tr>
      <w:tr>
        <w:tc>
          <w:tcPr>
            <w:tcW w:type="dxa" w:w="936"/>
            <w:shd w:fill="FFFFFF"/>
            <w:vAlign w:val="center"/>
          </w:tcPr>
          <w:p>
            <w:pPr>
              <w:spacing w:line="259" w:lineRule="auto" w:after="20"/>
              <w:jc w:val="center"/>
            </w:pPr>
            <w:r>
              <w:rPr>
                <w:sz w:val="14"/>
              </w:rPr>
              <w:t>08-01</w:t>
            </w:r>
          </w:p>
        </w:tc>
        <w:tc>
          <w:tcPr>
            <w:tcW w:type="dxa" w:w="1152"/>
            <w:shd w:fill="FFFFFF"/>
            <w:vAlign w:val="center"/>
          </w:tcPr>
          <w:p>
            <w:pPr>
              <w:spacing w:line="259" w:lineRule="auto" w:after="20"/>
              <w:jc w:val="center"/>
            </w:pPr>
            <w:r>
              <w:rPr>
                <w:sz w:val="14"/>
              </w:rPr>
              <w:t>5,722.87</w:t>
            </w:r>
          </w:p>
        </w:tc>
        <w:tc>
          <w:tcPr>
            <w:tcW w:type="dxa" w:w="1008"/>
            <w:shd w:fill="FFFFFF"/>
            <w:vAlign w:val="center"/>
          </w:tcPr>
          <w:p>
            <w:pPr>
              <w:spacing w:line="259" w:lineRule="auto" w:after="20"/>
              <w:jc w:val="center"/>
            </w:pPr>
            <w:r>
              <w:rPr>
                <w:sz w:val="14"/>
              </w:rPr>
              <w:t>6,942</w:t>
            </w:r>
          </w:p>
        </w:tc>
        <w:tc>
          <w:tcPr>
            <w:tcW w:type="dxa" w:w="1008"/>
            <w:shd w:fill="FFFFFF"/>
            <w:vAlign w:val="center"/>
          </w:tcPr>
          <w:p>
            <w:pPr>
              <w:spacing w:line="259" w:lineRule="auto" w:after="20"/>
              <w:jc w:val="center"/>
            </w:pPr>
            <w:r>
              <w:rPr>
                <w:sz w:val="14"/>
              </w:rPr>
              <w:t>10,242</w:t>
            </w:r>
          </w:p>
        </w:tc>
        <w:tc>
          <w:tcPr>
            <w:tcW w:type="dxa" w:w="1008"/>
            <w:shd w:fill="FFFFFF"/>
            <w:vAlign w:val="center"/>
          </w:tcPr>
          <w:p>
            <w:pPr>
              <w:spacing w:line="259" w:lineRule="auto" w:after="20"/>
              <w:jc w:val="center"/>
            </w:pPr>
            <w:r>
              <w:rPr>
                <w:sz w:val="14"/>
              </w:rPr>
              <w:t>343</w:t>
            </w:r>
          </w:p>
        </w:tc>
        <w:tc>
          <w:tcPr>
            <w:tcW w:type="dxa" w:w="1080"/>
            <w:shd w:fill="FFFFFF"/>
            <w:vAlign w:val="center"/>
          </w:tcPr>
          <w:p>
            <w:pPr>
              <w:spacing w:line="259" w:lineRule="auto" w:after="20"/>
              <w:jc w:val="center"/>
            </w:pPr>
            <w:r>
              <w:rPr>
                <w:sz w:val="14"/>
              </w:rPr>
              <w:t>506.0</w:t>
            </w:r>
          </w:p>
        </w:tc>
        <w:tc>
          <w:tcPr>
            <w:tcW w:type="dxa" w:w="1037"/>
            <w:shd w:fill="FFFFFF"/>
            <w:vAlign w:val="center"/>
          </w:tcPr>
          <w:p>
            <w:pPr>
              <w:spacing w:line="259" w:lineRule="auto" w:after="20"/>
              <w:jc w:val="center"/>
            </w:pPr>
            <w:r>
              <w:rPr>
                <w:sz w:val="14"/>
              </w:rPr>
              <w:t>16.68</w:t>
            </w:r>
          </w:p>
        </w:tc>
        <w:tc>
          <w:tcPr>
            <w:tcW w:type="dxa" w:w="1037"/>
            <w:shd w:fill="FFFFFF"/>
            <w:vAlign w:val="center"/>
          </w:tcPr>
          <w:p>
            <w:pPr>
              <w:spacing w:line="259" w:lineRule="auto" w:after="20"/>
              <w:jc w:val="center"/>
            </w:pPr>
            <w:r>
              <w:rPr>
                <w:sz w:val="14"/>
              </w:rPr>
              <w:t>11.31</w:t>
            </w:r>
          </w:p>
        </w:tc>
        <w:tc>
          <w:tcPr>
            <w:tcW w:type="dxa" w:w="1037"/>
            <w:shd w:fill="FFFFFF"/>
            <w:vAlign w:val="center"/>
          </w:tcPr>
          <w:p>
            <w:pPr>
              <w:spacing w:line="259" w:lineRule="auto" w:after="20"/>
              <w:jc w:val="center"/>
            </w:pPr>
            <w:r>
              <w:rPr>
                <w:sz w:val="14"/>
              </w:rPr>
              <w:t>47.5%</w:t>
            </w:r>
          </w:p>
        </w:tc>
      </w:tr>
      <w:tr>
        <w:tc>
          <w:tcPr>
            <w:tcW w:type="dxa" w:w="936"/>
            <w:shd w:fill="F3F7FC"/>
            <w:vAlign w:val="center"/>
          </w:tcPr>
          <w:p>
            <w:pPr>
              <w:spacing w:line="259" w:lineRule="auto" w:after="20"/>
              <w:jc w:val="center"/>
            </w:pPr>
            <w:r>
              <w:rPr>
                <w:sz w:val="14"/>
              </w:rPr>
              <w:t>08-02</w:t>
            </w:r>
          </w:p>
        </w:tc>
        <w:tc>
          <w:tcPr>
            <w:tcW w:type="dxa" w:w="1152"/>
            <w:shd w:fill="F3F7FC"/>
            <w:vAlign w:val="center"/>
          </w:tcPr>
          <w:p>
            <w:pPr>
              <w:spacing w:line="259" w:lineRule="auto" w:after="20"/>
              <w:jc w:val="center"/>
            </w:pPr>
            <w:r>
              <w:rPr>
                <w:sz w:val="14"/>
              </w:rPr>
              <w:t>5,515.84</w:t>
            </w:r>
          </w:p>
        </w:tc>
        <w:tc>
          <w:tcPr>
            <w:tcW w:type="dxa" w:w="1008"/>
            <w:shd w:fill="F3F7FC"/>
            <w:vAlign w:val="center"/>
          </w:tcPr>
          <w:p>
            <w:pPr>
              <w:spacing w:line="259" w:lineRule="auto" w:after="20"/>
              <w:jc w:val="center"/>
            </w:pPr>
            <w:r>
              <w:rPr>
                <w:sz w:val="14"/>
              </w:rPr>
              <w:t>6,480</w:t>
            </w:r>
          </w:p>
        </w:tc>
        <w:tc>
          <w:tcPr>
            <w:tcW w:type="dxa" w:w="1008"/>
            <w:shd w:fill="F3F7FC"/>
            <w:vAlign w:val="center"/>
          </w:tcPr>
          <w:p>
            <w:pPr>
              <w:spacing w:line="259" w:lineRule="auto" w:after="20"/>
              <w:jc w:val="center"/>
            </w:pPr>
            <w:r>
              <w:rPr>
                <w:sz w:val="14"/>
              </w:rPr>
              <w:t>9,521</w:t>
            </w:r>
          </w:p>
        </w:tc>
        <w:tc>
          <w:tcPr>
            <w:tcW w:type="dxa" w:w="1008"/>
            <w:shd w:fill="F3F7FC"/>
            <w:vAlign w:val="center"/>
          </w:tcPr>
          <w:p>
            <w:pPr>
              <w:spacing w:line="259" w:lineRule="auto" w:after="20"/>
              <w:jc w:val="center"/>
            </w:pPr>
            <w:r>
              <w:rPr>
                <w:sz w:val="14"/>
              </w:rPr>
              <w:t>315</w:t>
            </w:r>
          </w:p>
        </w:tc>
        <w:tc>
          <w:tcPr>
            <w:tcW w:type="dxa" w:w="1080"/>
            <w:shd w:fill="F3F7FC"/>
            <w:vAlign w:val="center"/>
          </w:tcPr>
          <w:p>
            <w:pPr>
              <w:spacing w:line="259" w:lineRule="auto" w:after="20"/>
              <w:jc w:val="center"/>
            </w:pPr>
            <w:r>
              <w:rPr>
                <w:sz w:val="14"/>
              </w:rPr>
              <w:t>462.8</w:t>
            </w:r>
          </w:p>
        </w:tc>
        <w:tc>
          <w:tcPr>
            <w:tcW w:type="dxa" w:w="1037"/>
            <w:shd w:fill="F3F7FC"/>
            <w:vAlign w:val="center"/>
          </w:tcPr>
          <w:p>
            <w:pPr>
              <w:spacing w:line="259" w:lineRule="auto" w:after="20"/>
              <w:jc w:val="center"/>
            </w:pPr>
            <w:r>
              <w:rPr>
                <w:sz w:val="14"/>
              </w:rPr>
              <w:t>17.51</w:t>
            </w:r>
          </w:p>
        </w:tc>
        <w:tc>
          <w:tcPr>
            <w:tcW w:type="dxa" w:w="1037"/>
            <w:shd w:fill="F3F7FC"/>
            <w:vAlign w:val="center"/>
          </w:tcPr>
          <w:p>
            <w:pPr>
              <w:spacing w:line="259" w:lineRule="auto" w:after="20"/>
              <w:jc w:val="center"/>
            </w:pPr>
            <w:r>
              <w:rPr>
                <w:sz w:val="14"/>
              </w:rPr>
              <w:t>11.92</w:t>
            </w:r>
          </w:p>
        </w:tc>
        <w:tc>
          <w:tcPr>
            <w:tcW w:type="dxa" w:w="1037"/>
            <w:shd w:fill="F3F7FC"/>
            <w:vAlign w:val="center"/>
          </w:tcPr>
          <w:p>
            <w:pPr>
              <w:spacing w:line="259" w:lineRule="auto" w:after="20"/>
              <w:jc w:val="center"/>
            </w:pPr>
            <w:r>
              <w:rPr>
                <w:sz w:val="14"/>
              </w:rPr>
              <w:t>46.9%</w:t>
            </w:r>
          </w:p>
        </w:tc>
      </w:tr>
      <w:tr>
        <w:tc>
          <w:tcPr>
            <w:tcW w:type="dxa" w:w="936"/>
            <w:shd w:fill="FFFFFF"/>
            <w:vAlign w:val="center"/>
          </w:tcPr>
          <w:p>
            <w:pPr>
              <w:spacing w:line="259" w:lineRule="auto" w:after="20"/>
              <w:jc w:val="center"/>
            </w:pPr>
            <w:r>
              <w:rPr>
                <w:sz w:val="14"/>
              </w:rPr>
              <w:t>08-03</w:t>
            </w:r>
          </w:p>
        </w:tc>
        <w:tc>
          <w:tcPr>
            <w:tcW w:type="dxa" w:w="1152"/>
            <w:shd w:fill="FFFFFF"/>
            <w:vAlign w:val="center"/>
          </w:tcPr>
          <w:p>
            <w:pPr>
              <w:spacing w:line="259" w:lineRule="auto" w:after="20"/>
              <w:jc w:val="center"/>
            </w:pPr>
            <w:r>
              <w:rPr>
                <w:sz w:val="14"/>
              </w:rPr>
              <w:t>2,422.25</w:t>
            </w:r>
          </w:p>
        </w:tc>
        <w:tc>
          <w:tcPr>
            <w:tcW w:type="dxa" w:w="1008"/>
            <w:shd w:fill="FFFFFF"/>
            <w:vAlign w:val="center"/>
          </w:tcPr>
          <w:p>
            <w:pPr>
              <w:spacing w:line="259" w:lineRule="auto" w:after="20"/>
              <w:jc w:val="center"/>
            </w:pPr>
            <w:r>
              <w:rPr>
                <w:sz w:val="14"/>
              </w:rPr>
              <w:t>2,003</w:t>
            </w:r>
          </w:p>
        </w:tc>
        <w:tc>
          <w:tcPr>
            <w:tcW w:type="dxa" w:w="1008"/>
            <w:shd w:fill="FFFFFF"/>
            <w:vAlign w:val="center"/>
          </w:tcPr>
          <w:p>
            <w:pPr>
              <w:spacing w:line="259" w:lineRule="auto" w:after="20"/>
              <w:jc w:val="center"/>
            </w:pPr>
            <w:r>
              <w:rPr>
                <w:sz w:val="14"/>
              </w:rPr>
              <w:t>2,754</w:t>
            </w:r>
          </w:p>
        </w:tc>
        <w:tc>
          <w:tcPr>
            <w:tcW w:type="dxa" w:w="1008"/>
            <w:shd w:fill="FFFFFF"/>
            <w:vAlign w:val="center"/>
          </w:tcPr>
          <w:p>
            <w:pPr>
              <w:spacing w:line="259" w:lineRule="auto" w:after="20"/>
              <w:jc w:val="center"/>
            </w:pPr>
            <w:r>
              <w:rPr>
                <w:sz w:val="14"/>
              </w:rPr>
              <w:t>176</w:t>
            </w:r>
          </w:p>
        </w:tc>
        <w:tc>
          <w:tcPr>
            <w:tcW w:type="dxa" w:w="1080"/>
            <w:shd w:fill="FFFFFF"/>
            <w:vAlign w:val="center"/>
          </w:tcPr>
          <w:p>
            <w:pPr>
              <w:spacing w:line="259" w:lineRule="auto" w:after="20"/>
              <w:jc w:val="center"/>
            </w:pPr>
            <w:r>
              <w:rPr>
                <w:sz w:val="14"/>
              </w:rPr>
              <w:t>242.0</w:t>
            </w:r>
          </w:p>
        </w:tc>
        <w:tc>
          <w:tcPr>
            <w:tcW w:type="dxa" w:w="1037"/>
            <w:shd w:fill="FFFFFF"/>
            <w:vAlign w:val="center"/>
          </w:tcPr>
          <w:p>
            <w:pPr>
              <w:spacing w:line="259" w:lineRule="auto" w:after="20"/>
              <w:jc w:val="center"/>
            </w:pPr>
            <w:r>
              <w:rPr>
                <w:sz w:val="14"/>
              </w:rPr>
              <w:t>13.76</w:t>
            </w:r>
          </w:p>
        </w:tc>
        <w:tc>
          <w:tcPr>
            <w:tcW w:type="dxa" w:w="1037"/>
            <w:shd w:fill="FFFFFF"/>
            <w:vAlign w:val="center"/>
          </w:tcPr>
          <w:p>
            <w:pPr>
              <w:spacing w:line="259" w:lineRule="auto" w:after="20"/>
              <w:jc w:val="center"/>
            </w:pPr>
            <w:r>
              <w:rPr>
                <w:sz w:val="14"/>
              </w:rPr>
              <w:t>10.01</w:t>
            </w:r>
          </w:p>
        </w:tc>
        <w:tc>
          <w:tcPr>
            <w:tcW w:type="dxa" w:w="1037"/>
            <w:shd w:fill="FFFFFF"/>
            <w:vAlign w:val="center"/>
          </w:tcPr>
          <w:p>
            <w:pPr>
              <w:spacing w:line="259" w:lineRule="auto" w:after="20"/>
              <w:jc w:val="center"/>
            </w:pPr>
            <w:r>
              <w:rPr>
                <w:sz w:val="14"/>
              </w:rPr>
              <w:t>37.5%</w:t>
            </w:r>
          </w:p>
        </w:tc>
      </w:tr>
      <w:tr>
        <w:tc>
          <w:tcPr>
            <w:tcW w:type="dxa" w:w="936"/>
            <w:shd w:fill="F3F7FC"/>
            <w:vAlign w:val="center"/>
          </w:tcPr>
          <w:p>
            <w:pPr>
              <w:spacing w:line="259" w:lineRule="auto" w:after="20"/>
              <w:jc w:val="center"/>
            </w:pPr>
            <w:r>
              <w:rPr>
                <w:sz w:val="14"/>
              </w:rPr>
              <w:t>08-04</w:t>
            </w:r>
          </w:p>
        </w:tc>
        <w:tc>
          <w:tcPr>
            <w:tcW w:type="dxa" w:w="1152"/>
            <w:shd w:fill="F3F7FC"/>
            <w:vAlign w:val="center"/>
          </w:tcPr>
          <w:p>
            <w:pPr>
              <w:spacing w:line="259" w:lineRule="auto" w:after="20"/>
              <w:jc w:val="center"/>
            </w:pPr>
            <w:r>
              <w:rPr>
                <w:sz w:val="14"/>
              </w:rPr>
              <w:t>2,364.28</w:t>
            </w:r>
          </w:p>
        </w:tc>
        <w:tc>
          <w:tcPr>
            <w:tcW w:type="dxa" w:w="1008"/>
            <w:shd w:fill="F3F7FC"/>
            <w:vAlign w:val="center"/>
          </w:tcPr>
          <w:p>
            <w:pPr>
              <w:spacing w:line="259" w:lineRule="auto" w:after="20"/>
              <w:jc w:val="center"/>
            </w:pPr>
            <w:r>
              <w:rPr>
                <w:sz w:val="14"/>
              </w:rPr>
              <w:t>1,912</w:t>
            </w:r>
          </w:p>
        </w:tc>
        <w:tc>
          <w:tcPr>
            <w:tcW w:type="dxa" w:w="1008"/>
            <w:shd w:fill="F3F7FC"/>
            <w:vAlign w:val="center"/>
          </w:tcPr>
          <w:p>
            <w:pPr>
              <w:spacing w:line="259" w:lineRule="auto" w:after="20"/>
              <w:jc w:val="center"/>
            </w:pPr>
            <w:r>
              <w:rPr>
                <w:sz w:val="14"/>
              </w:rPr>
              <w:t>2,632</w:t>
            </w:r>
          </w:p>
        </w:tc>
        <w:tc>
          <w:tcPr>
            <w:tcW w:type="dxa" w:w="1008"/>
            <w:shd w:fill="F3F7FC"/>
            <w:vAlign w:val="center"/>
          </w:tcPr>
          <w:p>
            <w:pPr>
              <w:spacing w:line="259" w:lineRule="auto" w:after="20"/>
              <w:jc w:val="center"/>
            </w:pPr>
            <w:r>
              <w:rPr>
                <w:sz w:val="14"/>
              </w:rPr>
              <w:t>189</w:t>
            </w:r>
          </w:p>
        </w:tc>
        <w:tc>
          <w:tcPr>
            <w:tcW w:type="dxa" w:w="1080"/>
            <w:shd w:fill="F3F7FC"/>
            <w:vAlign w:val="center"/>
          </w:tcPr>
          <w:p>
            <w:pPr>
              <w:spacing w:line="259" w:lineRule="auto" w:after="20"/>
              <w:jc w:val="center"/>
            </w:pPr>
            <w:r>
              <w:rPr>
                <w:sz w:val="14"/>
              </w:rPr>
              <w:t>260.2</w:t>
            </w:r>
          </w:p>
        </w:tc>
        <w:tc>
          <w:tcPr>
            <w:tcW w:type="dxa" w:w="1037"/>
            <w:shd w:fill="F3F7FC"/>
            <w:vAlign w:val="center"/>
          </w:tcPr>
          <w:p>
            <w:pPr>
              <w:spacing w:line="259" w:lineRule="auto" w:after="20"/>
              <w:jc w:val="center"/>
            </w:pPr>
            <w:r>
              <w:rPr>
                <w:sz w:val="14"/>
              </w:rPr>
              <w:t>12.51</w:t>
            </w:r>
          </w:p>
        </w:tc>
        <w:tc>
          <w:tcPr>
            <w:tcW w:type="dxa" w:w="1037"/>
            <w:shd w:fill="F3F7FC"/>
            <w:vAlign w:val="center"/>
          </w:tcPr>
          <w:p>
            <w:pPr>
              <w:spacing w:line="259" w:lineRule="auto" w:after="20"/>
              <w:jc w:val="center"/>
            </w:pPr>
            <w:r>
              <w:rPr>
                <w:sz w:val="14"/>
              </w:rPr>
              <w:t>9.09</w:t>
            </w:r>
          </w:p>
        </w:tc>
        <w:tc>
          <w:tcPr>
            <w:tcW w:type="dxa" w:w="1037"/>
            <w:shd w:fill="F3F7FC"/>
            <w:vAlign w:val="center"/>
          </w:tcPr>
          <w:p>
            <w:pPr>
              <w:spacing w:line="259" w:lineRule="auto" w:after="20"/>
              <w:jc w:val="center"/>
            </w:pPr>
            <w:r>
              <w:rPr>
                <w:sz w:val="14"/>
              </w:rPr>
              <w:t>37.6%</w:t>
            </w:r>
          </w:p>
        </w:tc>
      </w:tr>
      <w:tr>
        <w:tc>
          <w:tcPr>
            <w:tcW w:type="dxa" w:w="936"/>
            <w:shd w:fill="FFFFFF"/>
            <w:vAlign w:val="center"/>
          </w:tcPr>
          <w:p>
            <w:pPr>
              <w:spacing w:line="259" w:lineRule="auto" w:after="20"/>
              <w:jc w:val="center"/>
            </w:pPr>
            <w:r>
              <w:rPr>
                <w:sz w:val="14"/>
              </w:rPr>
              <w:t>08-05</w:t>
            </w:r>
          </w:p>
        </w:tc>
        <w:tc>
          <w:tcPr>
            <w:tcW w:type="dxa" w:w="1152"/>
            <w:shd w:fill="FFFFFF"/>
            <w:vAlign w:val="center"/>
          </w:tcPr>
          <w:p>
            <w:pPr>
              <w:spacing w:line="259" w:lineRule="auto" w:after="20"/>
              <w:jc w:val="center"/>
            </w:pPr>
            <w:r>
              <w:rPr>
                <w:sz w:val="14"/>
              </w:rPr>
              <w:t>4,530.61</w:t>
            </w:r>
          </w:p>
        </w:tc>
        <w:tc>
          <w:tcPr>
            <w:tcW w:type="dxa" w:w="1008"/>
            <w:shd w:fill="FFFFFF"/>
            <w:vAlign w:val="center"/>
          </w:tcPr>
          <w:p>
            <w:pPr>
              <w:spacing w:line="259" w:lineRule="auto" w:after="20"/>
              <w:jc w:val="center"/>
            </w:pPr>
            <w:r>
              <w:rPr>
                <w:sz w:val="14"/>
              </w:rPr>
              <w:t>3,797</w:t>
            </w:r>
          </w:p>
        </w:tc>
        <w:tc>
          <w:tcPr>
            <w:tcW w:type="dxa" w:w="1008"/>
            <w:shd w:fill="FFFFFF"/>
            <w:vAlign w:val="center"/>
          </w:tcPr>
          <w:p>
            <w:pPr>
              <w:spacing w:line="259" w:lineRule="auto" w:after="20"/>
              <w:jc w:val="center"/>
            </w:pPr>
            <w:r>
              <w:rPr>
                <w:sz w:val="14"/>
              </w:rPr>
              <w:t>5,455</w:t>
            </w:r>
          </w:p>
        </w:tc>
        <w:tc>
          <w:tcPr>
            <w:tcW w:type="dxa" w:w="1008"/>
            <w:shd w:fill="FFFFFF"/>
            <w:vAlign w:val="center"/>
          </w:tcPr>
          <w:p>
            <w:pPr>
              <w:spacing w:line="259" w:lineRule="auto" w:after="20"/>
              <w:jc w:val="center"/>
            </w:pPr>
            <w:r>
              <w:rPr>
                <w:sz w:val="14"/>
              </w:rPr>
              <w:t>278</w:t>
            </w:r>
          </w:p>
        </w:tc>
        <w:tc>
          <w:tcPr>
            <w:tcW w:type="dxa" w:w="1080"/>
            <w:shd w:fill="FFFFFF"/>
            <w:vAlign w:val="center"/>
          </w:tcPr>
          <w:p>
            <w:pPr>
              <w:spacing w:line="259" w:lineRule="auto" w:after="20"/>
              <w:jc w:val="center"/>
            </w:pPr>
            <w:r>
              <w:rPr>
                <w:sz w:val="14"/>
              </w:rPr>
              <w:t>399.4</w:t>
            </w:r>
          </w:p>
        </w:tc>
        <w:tc>
          <w:tcPr>
            <w:tcW w:type="dxa" w:w="1037"/>
            <w:shd w:fill="FFFFFF"/>
            <w:vAlign w:val="center"/>
          </w:tcPr>
          <w:p>
            <w:pPr>
              <w:spacing w:line="259" w:lineRule="auto" w:after="20"/>
              <w:jc w:val="center"/>
            </w:pPr>
            <w:r>
              <w:rPr>
                <w:sz w:val="14"/>
              </w:rPr>
              <w:t>16.30</w:t>
            </w:r>
          </w:p>
        </w:tc>
        <w:tc>
          <w:tcPr>
            <w:tcW w:type="dxa" w:w="1037"/>
            <w:shd w:fill="FFFFFF"/>
            <w:vAlign w:val="center"/>
          </w:tcPr>
          <w:p>
            <w:pPr>
              <w:spacing w:line="259" w:lineRule="auto" w:after="20"/>
              <w:jc w:val="center"/>
            </w:pPr>
            <w:r>
              <w:rPr>
                <w:sz w:val="14"/>
              </w:rPr>
              <w:t>11.34</w:t>
            </w:r>
          </w:p>
        </w:tc>
        <w:tc>
          <w:tcPr>
            <w:tcW w:type="dxa" w:w="1037"/>
            <w:shd w:fill="FFFFFF"/>
            <w:vAlign w:val="center"/>
          </w:tcPr>
          <w:p>
            <w:pPr>
              <w:spacing w:line="259" w:lineRule="auto" w:after="20"/>
              <w:jc w:val="center"/>
            </w:pPr>
            <w:r>
              <w:rPr>
                <w:sz w:val="14"/>
              </w:rPr>
              <w:t>43.7%</w:t>
            </w:r>
          </w:p>
        </w:tc>
      </w:tr>
      <w:tr>
        <w:tc>
          <w:tcPr>
            <w:tcW w:type="dxa" w:w="936"/>
            <w:shd w:fill="F3F7FC"/>
            <w:vAlign w:val="center"/>
          </w:tcPr>
          <w:p>
            <w:pPr>
              <w:spacing w:line="259" w:lineRule="auto" w:after="20"/>
              <w:jc w:val="center"/>
            </w:pPr>
            <w:r>
              <w:rPr>
                <w:sz w:val="14"/>
              </w:rPr>
              <w:t>08-06</w:t>
            </w:r>
          </w:p>
        </w:tc>
        <w:tc>
          <w:tcPr>
            <w:tcW w:type="dxa" w:w="1152"/>
            <w:shd w:fill="F3F7FC"/>
            <w:vAlign w:val="center"/>
          </w:tcPr>
          <w:p>
            <w:pPr>
              <w:spacing w:line="259" w:lineRule="auto" w:after="20"/>
              <w:jc w:val="center"/>
            </w:pPr>
            <w:r>
              <w:rPr>
                <w:sz w:val="14"/>
              </w:rPr>
              <w:t>5,300.02</w:t>
            </w:r>
          </w:p>
        </w:tc>
        <w:tc>
          <w:tcPr>
            <w:tcW w:type="dxa" w:w="1008"/>
            <w:shd w:fill="F3F7FC"/>
            <w:vAlign w:val="center"/>
          </w:tcPr>
          <w:p>
            <w:pPr>
              <w:spacing w:line="259" w:lineRule="auto" w:after="20"/>
              <w:jc w:val="center"/>
            </w:pPr>
            <w:r>
              <w:rPr>
                <w:sz w:val="14"/>
              </w:rPr>
              <w:t>4,827</w:t>
            </w:r>
          </w:p>
        </w:tc>
        <w:tc>
          <w:tcPr>
            <w:tcW w:type="dxa" w:w="1008"/>
            <w:shd w:fill="F3F7FC"/>
            <w:vAlign w:val="center"/>
          </w:tcPr>
          <w:p>
            <w:pPr>
              <w:spacing w:line="259" w:lineRule="auto" w:after="20"/>
              <w:jc w:val="center"/>
            </w:pPr>
            <w:r>
              <w:rPr>
                <w:sz w:val="14"/>
              </w:rPr>
              <w:t>8,629</w:t>
            </w:r>
          </w:p>
        </w:tc>
        <w:tc>
          <w:tcPr>
            <w:tcW w:type="dxa" w:w="1008"/>
            <w:shd w:fill="F3F7FC"/>
            <w:vAlign w:val="center"/>
          </w:tcPr>
          <w:p>
            <w:pPr>
              <w:spacing w:line="259" w:lineRule="auto" w:after="20"/>
              <w:jc w:val="center"/>
            </w:pPr>
            <w:r>
              <w:rPr>
                <w:sz w:val="14"/>
              </w:rPr>
              <w:t>303</w:t>
            </w:r>
          </w:p>
        </w:tc>
        <w:tc>
          <w:tcPr>
            <w:tcW w:type="dxa" w:w="1080"/>
            <w:shd w:fill="F3F7FC"/>
            <w:vAlign w:val="center"/>
          </w:tcPr>
          <w:p>
            <w:pPr>
              <w:spacing w:line="259" w:lineRule="auto" w:after="20"/>
              <w:jc w:val="center"/>
            </w:pPr>
            <w:r>
              <w:rPr>
                <w:sz w:val="14"/>
              </w:rPr>
              <w:t>541.7</w:t>
            </w:r>
          </w:p>
        </w:tc>
        <w:tc>
          <w:tcPr>
            <w:tcW w:type="dxa" w:w="1037"/>
            <w:shd w:fill="F3F7FC"/>
            <w:vAlign w:val="center"/>
          </w:tcPr>
          <w:p>
            <w:pPr>
              <w:spacing w:line="259" w:lineRule="auto" w:after="20"/>
              <w:jc w:val="center"/>
            </w:pPr>
            <w:r>
              <w:rPr>
                <w:sz w:val="14"/>
              </w:rPr>
              <w:t>17.49</w:t>
            </w:r>
          </w:p>
        </w:tc>
        <w:tc>
          <w:tcPr>
            <w:tcW w:type="dxa" w:w="1037"/>
            <w:shd w:fill="F3F7FC"/>
            <w:vAlign w:val="center"/>
          </w:tcPr>
          <w:p>
            <w:pPr>
              <w:spacing w:line="259" w:lineRule="auto" w:after="20"/>
              <w:jc w:val="center"/>
            </w:pPr>
            <w:r>
              <w:rPr>
                <w:sz w:val="14"/>
              </w:rPr>
              <w:t>9.78</w:t>
            </w:r>
          </w:p>
        </w:tc>
        <w:tc>
          <w:tcPr>
            <w:tcW w:type="dxa" w:w="1037"/>
            <w:shd w:fill="F3F7FC"/>
            <w:vAlign w:val="center"/>
          </w:tcPr>
          <w:p>
            <w:pPr>
              <w:spacing w:line="259" w:lineRule="auto" w:after="20"/>
              <w:jc w:val="center"/>
            </w:pPr>
            <w:r>
              <w:rPr>
                <w:sz w:val="14"/>
              </w:rPr>
              <w:t>78.8%</w:t>
            </w:r>
          </w:p>
        </w:tc>
      </w:tr>
      <w:tr>
        <w:tc>
          <w:tcPr>
            <w:tcW w:type="dxa" w:w="936"/>
            <w:shd w:fill="FFFFFF"/>
            <w:vAlign w:val="center"/>
          </w:tcPr>
          <w:p>
            <w:pPr>
              <w:spacing w:line="259" w:lineRule="auto" w:after="20"/>
              <w:jc w:val="center"/>
            </w:pPr>
            <w:r>
              <w:rPr>
                <w:sz w:val="14"/>
              </w:rPr>
              <w:t>08-07</w:t>
            </w:r>
          </w:p>
        </w:tc>
        <w:tc>
          <w:tcPr>
            <w:tcW w:type="dxa" w:w="1152"/>
            <w:shd w:fill="FFFFFF"/>
            <w:vAlign w:val="center"/>
          </w:tcPr>
          <w:p>
            <w:pPr>
              <w:spacing w:line="259" w:lineRule="auto" w:after="20"/>
              <w:jc w:val="center"/>
            </w:pPr>
            <w:r>
              <w:rPr>
                <w:sz w:val="14"/>
              </w:rPr>
              <w:t>5,703.81</w:t>
            </w:r>
          </w:p>
        </w:tc>
        <w:tc>
          <w:tcPr>
            <w:tcW w:type="dxa" w:w="1008"/>
            <w:shd w:fill="FFFFFF"/>
            <w:vAlign w:val="center"/>
          </w:tcPr>
          <w:p>
            <w:pPr>
              <w:spacing w:line="259" w:lineRule="auto" w:after="20"/>
              <w:jc w:val="center"/>
            </w:pPr>
            <w:r>
              <w:rPr>
                <w:sz w:val="14"/>
              </w:rPr>
              <w:t>4,919</w:t>
            </w:r>
          </w:p>
        </w:tc>
        <w:tc>
          <w:tcPr>
            <w:tcW w:type="dxa" w:w="1008"/>
            <w:shd w:fill="FFFFFF"/>
            <w:vAlign w:val="center"/>
          </w:tcPr>
          <w:p>
            <w:pPr>
              <w:spacing w:line="259" w:lineRule="auto" w:after="20"/>
              <w:jc w:val="center"/>
            </w:pPr>
            <w:r>
              <w:rPr>
                <w:sz w:val="14"/>
              </w:rPr>
              <w:t>8,038</w:t>
            </w:r>
          </w:p>
        </w:tc>
        <w:tc>
          <w:tcPr>
            <w:tcW w:type="dxa" w:w="1008"/>
            <w:shd w:fill="FFFFFF"/>
            <w:vAlign w:val="center"/>
          </w:tcPr>
          <w:p>
            <w:pPr>
              <w:spacing w:line="259" w:lineRule="auto" w:after="20"/>
              <w:jc w:val="center"/>
            </w:pPr>
            <w:r>
              <w:rPr>
                <w:sz w:val="14"/>
              </w:rPr>
              <w:t>298</w:t>
            </w:r>
          </w:p>
        </w:tc>
        <w:tc>
          <w:tcPr>
            <w:tcW w:type="dxa" w:w="1080"/>
            <w:shd w:fill="FFFFFF"/>
            <w:vAlign w:val="center"/>
          </w:tcPr>
          <w:p>
            <w:pPr>
              <w:spacing w:line="259" w:lineRule="auto" w:after="20"/>
              <w:jc w:val="center"/>
            </w:pPr>
            <w:r>
              <w:rPr>
                <w:sz w:val="14"/>
              </w:rPr>
              <w:t>487.0</w:t>
            </w:r>
          </w:p>
        </w:tc>
        <w:tc>
          <w:tcPr>
            <w:tcW w:type="dxa" w:w="1037"/>
            <w:shd w:fill="FFFFFF"/>
            <w:vAlign w:val="center"/>
          </w:tcPr>
          <w:p>
            <w:pPr>
              <w:spacing w:line="259" w:lineRule="auto" w:after="20"/>
              <w:jc w:val="center"/>
            </w:pPr>
            <w:r>
              <w:rPr>
                <w:sz w:val="14"/>
              </w:rPr>
              <w:t>19.14</w:t>
            </w:r>
          </w:p>
        </w:tc>
        <w:tc>
          <w:tcPr>
            <w:tcW w:type="dxa" w:w="1037"/>
            <w:shd w:fill="FFFFFF"/>
            <w:vAlign w:val="center"/>
          </w:tcPr>
          <w:p>
            <w:pPr>
              <w:spacing w:line="259" w:lineRule="auto" w:after="20"/>
              <w:jc w:val="center"/>
            </w:pPr>
            <w:r>
              <w:rPr>
                <w:sz w:val="14"/>
              </w:rPr>
              <w:t>11.71</w:t>
            </w:r>
          </w:p>
        </w:tc>
        <w:tc>
          <w:tcPr>
            <w:tcW w:type="dxa" w:w="1037"/>
            <w:shd w:fill="FFFFFF"/>
            <w:vAlign w:val="center"/>
          </w:tcPr>
          <w:p>
            <w:pPr>
              <w:spacing w:line="259" w:lineRule="auto" w:after="20"/>
              <w:jc w:val="center"/>
            </w:pPr>
            <w:r>
              <w:rPr>
                <w:sz w:val="14"/>
              </w:rPr>
              <w:t>63.4%</w:t>
            </w:r>
          </w:p>
        </w:tc>
      </w:tr>
      <w:tr>
        <w:tc>
          <w:tcPr>
            <w:tcW w:type="dxa" w:w="936"/>
            <w:shd w:fill="F3F7FC"/>
            <w:vAlign w:val="center"/>
          </w:tcPr>
          <w:p>
            <w:pPr>
              <w:spacing w:line="259" w:lineRule="auto" w:after="20"/>
              <w:jc w:val="center"/>
            </w:pPr>
            <w:r>
              <w:rPr>
                <w:sz w:val="14"/>
              </w:rPr>
              <w:t>08-08</w:t>
            </w:r>
          </w:p>
        </w:tc>
        <w:tc>
          <w:tcPr>
            <w:tcW w:type="dxa" w:w="1152"/>
            <w:shd w:fill="F3F7FC"/>
            <w:vAlign w:val="center"/>
          </w:tcPr>
          <w:p>
            <w:pPr>
              <w:spacing w:line="259" w:lineRule="auto" w:after="20"/>
              <w:jc w:val="center"/>
            </w:pPr>
            <w:r>
              <w:rPr>
                <w:sz w:val="14"/>
              </w:rPr>
              <w:t>5,924.10</w:t>
            </w:r>
          </w:p>
        </w:tc>
        <w:tc>
          <w:tcPr>
            <w:tcW w:type="dxa" w:w="1008"/>
            <w:shd w:fill="F3F7FC"/>
            <w:vAlign w:val="center"/>
          </w:tcPr>
          <w:p>
            <w:pPr>
              <w:spacing w:line="259" w:lineRule="auto" w:after="20"/>
              <w:jc w:val="center"/>
            </w:pPr>
            <w:r>
              <w:rPr>
                <w:sz w:val="14"/>
              </w:rPr>
              <w:t>4,932</w:t>
            </w:r>
          </w:p>
        </w:tc>
        <w:tc>
          <w:tcPr>
            <w:tcW w:type="dxa" w:w="1008"/>
            <w:shd w:fill="F3F7FC"/>
            <w:vAlign w:val="center"/>
          </w:tcPr>
          <w:p>
            <w:pPr>
              <w:spacing w:line="259" w:lineRule="auto" w:after="20"/>
              <w:jc w:val="center"/>
            </w:pPr>
            <w:r>
              <w:rPr>
                <w:sz w:val="14"/>
              </w:rPr>
              <w:t>7,559</w:t>
            </w:r>
          </w:p>
        </w:tc>
        <w:tc>
          <w:tcPr>
            <w:tcW w:type="dxa" w:w="1008"/>
            <w:shd w:fill="F3F7FC"/>
            <w:vAlign w:val="center"/>
          </w:tcPr>
          <w:p>
            <w:pPr>
              <w:spacing w:line="259" w:lineRule="auto" w:after="20"/>
              <w:jc w:val="center"/>
            </w:pPr>
            <w:r>
              <w:rPr>
                <w:sz w:val="14"/>
              </w:rPr>
              <w:t>270</w:t>
            </w:r>
          </w:p>
        </w:tc>
        <w:tc>
          <w:tcPr>
            <w:tcW w:type="dxa" w:w="1080"/>
            <w:shd w:fill="F3F7FC"/>
            <w:vAlign w:val="center"/>
          </w:tcPr>
          <w:p>
            <w:pPr>
              <w:spacing w:line="259" w:lineRule="auto" w:after="20"/>
              <w:jc w:val="center"/>
            </w:pPr>
            <w:r>
              <w:rPr>
                <w:sz w:val="14"/>
              </w:rPr>
              <w:t>413.8</w:t>
            </w:r>
          </w:p>
        </w:tc>
        <w:tc>
          <w:tcPr>
            <w:tcW w:type="dxa" w:w="1037"/>
            <w:shd w:fill="F3F7FC"/>
            <w:vAlign w:val="center"/>
          </w:tcPr>
          <w:p>
            <w:pPr>
              <w:spacing w:line="259" w:lineRule="auto" w:after="20"/>
              <w:jc w:val="center"/>
            </w:pPr>
            <w:r>
              <w:rPr>
                <w:sz w:val="14"/>
              </w:rPr>
              <w:t>21.94</w:t>
            </w:r>
          </w:p>
        </w:tc>
        <w:tc>
          <w:tcPr>
            <w:tcW w:type="dxa" w:w="1037"/>
            <w:shd w:fill="F3F7FC"/>
            <w:vAlign w:val="center"/>
          </w:tcPr>
          <w:p>
            <w:pPr>
              <w:spacing w:line="259" w:lineRule="auto" w:after="20"/>
              <w:jc w:val="center"/>
            </w:pPr>
            <w:r>
              <w:rPr>
                <w:sz w:val="14"/>
              </w:rPr>
              <w:t>14.32</w:t>
            </w:r>
          </w:p>
        </w:tc>
        <w:tc>
          <w:tcPr>
            <w:tcW w:type="dxa" w:w="1037"/>
            <w:shd w:fill="F3F7FC"/>
            <w:vAlign w:val="center"/>
          </w:tcPr>
          <w:p>
            <w:pPr>
              <w:spacing w:line="259" w:lineRule="auto" w:after="20"/>
              <w:jc w:val="center"/>
            </w:pPr>
            <w:r>
              <w:rPr>
                <w:sz w:val="14"/>
              </w:rPr>
              <w:t>53.3%</w:t>
            </w:r>
          </w:p>
        </w:tc>
      </w:tr>
    </w:tbl>
    <w:p>
      <w:pPr>
        <w:spacing w:after="0"/>
      </w:pPr>
    </w:p>
    <w:p>
      <w:r>
        <w:t>表中的历史点击和历史注册采用目标日期原记录，等价于在历史结构下的基准表现；优化点击和优化注册为混合整数线性规划重新分配同额预算后的模型预测。单位注册成本等于投入金额除以注册量，数值越低越好。</w:t>
      </w:r>
    </w:p>
    <w:p>
      <w:pPr>
        <w:jc w:val="center"/>
      </w:pPr>
      <w:r>
        <w:drawing>
          <wp:inline xmlns:a="http://schemas.openxmlformats.org/drawingml/2006/main" xmlns:pic="http://schemas.openxmlformats.org/drawingml/2006/picture">
            <wp:extent cx="5943600" cy="5940873"/>
            <wp:docPr id="1" name="Picture 1"/>
            <wp:cNvGraphicFramePr>
              <a:graphicFrameLocks noChangeAspect="1"/>
            </wp:cNvGraphicFramePr>
            <a:graphic>
              <a:graphicData uri="http://schemas.openxmlformats.org/drawingml/2006/picture">
                <pic:pic>
                  <pic:nvPicPr>
                    <pic:cNvPr id="0" name="逐日投放效益综合对比图.png"/>
                    <pic:cNvPicPr/>
                  </pic:nvPicPr>
                  <pic:blipFill>
                    <a:blip r:embed="rId9"/>
                    <a:stretch>
                      <a:fillRect/>
                    </a:stretch>
                  </pic:blipFill>
                  <pic:spPr>
                    <a:xfrm>
                      <a:off x="0" y="0"/>
                      <a:ext cx="5943600" cy="5940873"/>
                    </a:xfrm>
                    <a:prstGeom prst="rect"/>
                  </pic:spPr>
                </pic:pic>
              </a:graphicData>
            </a:graphic>
          </wp:inline>
        </w:drawing>
      </w:r>
    </w:p>
    <w:p>
      <w:pPr>
        <w:jc w:val="center"/>
      </w:pPr>
      <w:r>
        <w:rPr>
          <w:b/>
          <w:sz w:val="18"/>
        </w:rPr>
        <w:t>图1  同预算下历史比例方案与优化方案逐日效益比较</w:t>
      </w:r>
    </w:p>
    <w:p>
      <w:r>
        <w:t>图1由三幅子图组成。第一幅比较逐日点击量，第二幅比较逐日注册量，曲线越高表示投放效益越好；第三幅比较单位注册成本，曲线越低表示获得一个注册所需的投入越少。三幅图使用同一组16个目标日期和相同日预算，因此能够从“流量、转化、成本”三个角度直接比较两种方案。</w:t>
      </w:r>
    </w:p>
    <w:p>
      <w:r>
        <w:t>从图中可以看出，优化方案在16个日期的预期点击量和预期注册量均高于历史比例方案，同时单位注册成本均低于历史基准。2月和8月的绝对投放规模不同，但优化方向保持一致，说明模型的改善并非依赖某一个日期。其原因是模型把资金从单位投入效率较低的关键词转移到黄金词和重点词，而不是增加每日预算。</w:t>
      </w:r>
    </w:p>
    <w:p>
      <w:pPr>
        <w:pStyle w:val="Heading1"/>
      </w:pPr>
      <w:r>
        <w:t>五 总体结果比较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c>
          <w:tcPr>
            <w:tcW w:type="dxa" w:w="2376"/>
            <w:shd w:fill="173B67"/>
            <w:vAlign w:val="center"/>
          </w:tcPr>
          <w:p>
            <w:pPr>
              <w:jc w:val="center"/>
            </w:pPr>
            <w:r>
              <w:rPr>
                <w:b/>
                <w:color w:val="FFFFFF"/>
                <w:sz w:val="16"/>
              </w:rPr>
              <w:t>评价指标</w:t>
            </w:r>
          </w:p>
        </w:tc>
        <w:tc>
          <w:tcPr>
            <w:tcW w:type="dxa" w:w="2232"/>
            <w:shd w:fill="173B67"/>
            <w:vAlign w:val="center"/>
          </w:tcPr>
          <w:p>
            <w:pPr>
              <w:jc w:val="center"/>
            </w:pPr>
            <w:r>
              <w:rPr>
                <w:b/>
                <w:color w:val="FFFFFF"/>
                <w:sz w:val="16"/>
              </w:rPr>
              <w:t>历史比例方案</w:t>
            </w:r>
          </w:p>
        </w:tc>
        <w:tc>
          <w:tcPr>
            <w:tcW w:type="dxa" w:w="2376"/>
            <w:shd w:fill="173B67"/>
            <w:vAlign w:val="center"/>
          </w:tcPr>
          <w:p>
            <w:pPr>
              <w:jc w:val="center"/>
            </w:pPr>
            <w:r>
              <w:rPr>
                <w:b/>
                <w:color w:val="FFFFFF"/>
                <w:sz w:val="16"/>
              </w:rPr>
              <w:t>混合整数规划</w:t>
            </w:r>
          </w:p>
        </w:tc>
        <w:tc>
          <w:tcPr>
            <w:tcW w:type="dxa" w:w="2232"/>
            <w:shd w:fill="173B67"/>
            <w:vAlign w:val="center"/>
          </w:tcPr>
          <w:p>
            <w:pPr>
              <w:jc w:val="center"/>
            </w:pPr>
            <w:r>
              <w:rPr>
                <w:b/>
                <w:color w:val="FFFFFF"/>
                <w:sz w:val="16"/>
              </w:rPr>
              <w:t>变化</w:t>
            </w:r>
          </w:p>
        </w:tc>
      </w:tr>
      <w:tr>
        <w:tc>
          <w:tcPr>
            <w:tcW w:type="dxa" w:w="2376"/>
            <w:shd w:fill="FFFFFF"/>
            <w:vAlign w:val="center"/>
          </w:tcPr>
          <w:p>
            <w:pPr>
              <w:spacing w:line="259" w:lineRule="auto" w:after="20"/>
              <w:jc w:val="center"/>
            </w:pPr>
            <w:r>
              <w:rPr>
                <w:sz w:val="16"/>
              </w:rPr>
              <w:t>总投入金额</w:t>
            </w:r>
          </w:p>
        </w:tc>
        <w:tc>
          <w:tcPr>
            <w:tcW w:type="dxa" w:w="2232"/>
            <w:shd w:fill="FFFFFF"/>
            <w:vAlign w:val="center"/>
          </w:tcPr>
          <w:p>
            <w:pPr>
              <w:spacing w:line="259" w:lineRule="auto" w:after="20"/>
              <w:jc w:val="center"/>
            </w:pPr>
            <w:r>
              <w:rPr>
                <w:sz w:val="16"/>
              </w:rPr>
              <w:t>51,164.93元</w:t>
            </w:r>
          </w:p>
        </w:tc>
        <w:tc>
          <w:tcPr>
            <w:tcW w:type="dxa" w:w="2376"/>
            <w:shd w:fill="FFFFFF"/>
            <w:vAlign w:val="center"/>
          </w:tcPr>
          <w:p>
            <w:pPr>
              <w:spacing w:line="259" w:lineRule="auto" w:after="20"/>
              <w:jc w:val="center"/>
            </w:pPr>
            <w:r>
              <w:rPr>
                <w:sz w:val="16"/>
              </w:rPr>
              <w:t>51,164.93元</w:t>
            </w:r>
          </w:p>
        </w:tc>
        <w:tc>
          <w:tcPr>
            <w:tcW w:type="dxa" w:w="2232"/>
            <w:shd w:fill="FFFFFF"/>
            <w:vAlign w:val="center"/>
          </w:tcPr>
          <w:p>
            <w:pPr>
              <w:spacing w:line="259" w:lineRule="auto" w:after="20"/>
              <w:jc w:val="center"/>
            </w:pPr>
            <w:r>
              <w:rPr>
                <w:sz w:val="16"/>
              </w:rPr>
              <w:t>保持一致</w:t>
            </w:r>
          </w:p>
        </w:tc>
      </w:tr>
      <w:tr>
        <w:tc>
          <w:tcPr>
            <w:tcW w:type="dxa" w:w="2376"/>
            <w:shd w:fill="F3F7FC"/>
            <w:vAlign w:val="center"/>
          </w:tcPr>
          <w:p>
            <w:pPr>
              <w:spacing w:line="259" w:lineRule="auto" w:after="20"/>
              <w:jc w:val="center"/>
            </w:pPr>
            <w:r>
              <w:rPr>
                <w:sz w:val="16"/>
              </w:rPr>
              <w:t>点击量</w:t>
            </w:r>
          </w:p>
        </w:tc>
        <w:tc>
          <w:tcPr>
            <w:tcW w:type="dxa" w:w="2232"/>
            <w:shd w:fill="F3F7FC"/>
            <w:vAlign w:val="center"/>
          </w:tcPr>
          <w:p>
            <w:pPr>
              <w:spacing w:line="259" w:lineRule="auto" w:after="20"/>
              <w:jc w:val="center"/>
            </w:pPr>
            <w:r>
              <w:rPr>
                <w:sz w:val="16"/>
              </w:rPr>
              <w:t>41,467次</w:t>
            </w:r>
          </w:p>
        </w:tc>
        <w:tc>
          <w:tcPr>
            <w:tcW w:type="dxa" w:w="2376"/>
            <w:shd w:fill="F3F7FC"/>
            <w:vAlign w:val="center"/>
          </w:tcPr>
          <w:p>
            <w:pPr>
              <w:spacing w:line="259" w:lineRule="auto" w:after="20"/>
              <w:jc w:val="center"/>
            </w:pPr>
            <w:r>
              <w:rPr>
                <w:sz w:val="16"/>
              </w:rPr>
              <w:t>62,495次</w:t>
            </w:r>
          </w:p>
        </w:tc>
        <w:tc>
          <w:tcPr>
            <w:tcW w:type="dxa" w:w="2232"/>
            <w:shd w:fill="F3F7FC"/>
            <w:vAlign w:val="center"/>
          </w:tcPr>
          <w:p>
            <w:pPr>
              <w:spacing w:line="259" w:lineRule="auto" w:after="20"/>
              <w:jc w:val="center"/>
            </w:pPr>
            <w:r>
              <w:rPr>
                <w:sz w:val="16"/>
              </w:rPr>
              <w:t>提高50.7%</w:t>
            </w:r>
          </w:p>
        </w:tc>
      </w:tr>
      <w:tr>
        <w:tc>
          <w:tcPr>
            <w:tcW w:type="dxa" w:w="2376"/>
            <w:shd w:fill="FFFFFF"/>
            <w:vAlign w:val="center"/>
          </w:tcPr>
          <w:p>
            <w:pPr>
              <w:spacing w:line="259" w:lineRule="auto" w:after="20"/>
              <w:jc w:val="center"/>
            </w:pPr>
            <w:r>
              <w:rPr>
                <w:sz w:val="16"/>
              </w:rPr>
              <w:t>注册量</w:t>
            </w:r>
          </w:p>
        </w:tc>
        <w:tc>
          <w:tcPr>
            <w:tcW w:type="dxa" w:w="2232"/>
            <w:shd w:fill="FFFFFF"/>
            <w:vAlign w:val="center"/>
          </w:tcPr>
          <w:p>
            <w:pPr>
              <w:spacing w:line="259" w:lineRule="auto" w:after="20"/>
              <w:jc w:val="center"/>
            </w:pPr>
            <w:r>
              <w:rPr>
                <w:sz w:val="16"/>
              </w:rPr>
              <w:t>2,903人</w:t>
            </w:r>
          </w:p>
        </w:tc>
        <w:tc>
          <w:tcPr>
            <w:tcW w:type="dxa" w:w="2376"/>
            <w:shd w:fill="FFFFFF"/>
            <w:vAlign w:val="center"/>
          </w:tcPr>
          <w:p>
            <w:pPr>
              <w:spacing w:line="259" w:lineRule="auto" w:after="20"/>
              <w:jc w:val="center"/>
            </w:pPr>
            <w:r>
              <w:rPr>
                <w:sz w:val="16"/>
              </w:rPr>
              <w:t>4,303人</w:t>
            </w:r>
          </w:p>
        </w:tc>
        <w:tc>
          <w:tcPr>
            <w:tcW w:type="dxa" w:w="2232"/>
            <w:shd w:fill="FFFFFF"/>
            <w:vAlign w:val="center"/>
          </w:tcPr>
          <w:p>
            <w:pPr>
              <w:spacing w:line="259" w:lineRule="auto" w:after="20"/>
              <w:jc w:val="center"/>
            </w:pPr>
            <w:r>
              <w:rPr>
                <w:sz w:val="16"/>
              </w:rPr>
              <w:t>提高48.2%</w:t>
            </w:r>
          </w:p>
        </w:tc>
      </w:tr>
      <w:tr>
        <w:tc>
          <w:tcPr>
            <w:tcW w:type="dxa" w:w="2376"/>
            <w:shd w:fill="F3F7FC"/>
            <w:vAlign w:val="center"/>
          </w:tcPr>
          <w:p>
            <w:pPr>
              <w:spacing w:line="259" w:lineRule="auto" w:after="20"/>
              <w:jc w:val="center"/>
            </w:pPr>
            <w:r>
              <w:rPr>
                <w:sz w:val="16"/>
              </w:rPr>
              <w:t>单位注册成本</w:t>
            </w:r>
          </w:p>
        </w:tc>
        <w:tc>
          <w:tcPr>
            <w:tcW w:type="dxa" w:w="2232"/>
            <w:shd w:fill="F3F7FC"/>
            <w:vAlign w:val="center"/>
          </w:tcPr>
          <w:p>
            <w:pPr>
              <w:spacing w:line="259" w:lineRule="auto" w:after="20"/>
              <w:jc w:val="center"/>
            </w:pPr>
            <w:r>
              <w:rPr>
                <w:sz w:val="16"/>
              </w:rPr>
              <w:t>17.62元/人</w:t>
            </w:r>
          </w:p>
        </w:tc>
        <w:tc>
          <w:tcPr>
            <w:tcW w:type="dxa" w:w="2376"/>
            <w:shd w:fill="F3F7FC"/>
            <w:vAlign w:val="center"/>
          </w:tcPr>
          <w:p>
            <w:pPr>
              <w:spacing w:line="259" w:lineRule="auto" w:after="20"/>
              <w:jc w:val="center"/>
            </w:pPr>
            <w:r>
              <w:rPr>
                <w:sz w:val="16"/>
              </w:rPr>
              <w:t>11.89元/人</w:t>
            </w:r>
          </w:p>
        </w:tc>
        <w:tc>
          <w:tcPr>
            <w:tcW w:type="dxa" w:w="2232"/>
            <w:shd w:fill="F3F7FC"/>
            <w:vAlign w:val="center"/>
          </w:tcPr>
          <w:p>
            <w:pPr>
              <w:spacing w:line="259" w:lineRule="auto" w:after="20"/>
              <w:jc w:val="center"/>
            </w:pPr>
            <w:r>
              <w:rPr>
                <w:sz w:val="16"/>
              </w:rPr>
              <w:t>降低32.5%</w:t>
            </w:r>
          </w:p>
        </w:tc>
      </w:tr>
      <w:tr>
        <w:tc>
          <w:tcPr>
            <w:tcW w:type="dxa" w:w="2376"/>
            <w:shd w:fill="FFFFFF"/>
            <w:vAlign w:val="center"/>
          </w:tcPr>
          <w:p>
            <w:pPr>
              <w:spacing w:line="259" w:lineRule="auto" w:after="20"/>
              <w:jc w:val="center"/>
            </w:pPr>
            <w:r>
              <w:rPr>
                <w:sz w:val="16"/>
              </w:rPr>
              <w:t>预算完成率</w:t>
            </w:r>
          </w:p>
        </w:tc>
        <w:tc>
          <w:tcPr>
            <w:tcW w:type="dxa" w:w="2232"/>
            <w:shd w:fill="FFFFFF"/>
            <w:vAlign w:val="center"/>
          </w:tcPr>
          <w:p>
            <w:pPr>
              <w:spacing w:line="259" w:lineRule="auto" w:after="20"/>
              <w:jc w:val="center"/>
            </w:pPr>
            <w:r>
              <w:rPr>
                <w:sz w:val="16"/>
              </w:rPr>
              <w:t>100%</w:t>
            </w:r>
          </w:p>
        </w:tc>
        <w:tc>
          <w:tcPr>
            <w:tcW w:type="dxa" w:w="2376"/>
            <w:shd w:fill="FFFFFF"/>
            <w:vAlign w:val="center"/>
          </w:tcPr>
          <w:p>
            <w:pPr>
              <w:spacing w:line="259" w:lineRule="auto" w:after="20"/>
              <w:jc w:val="center"/>
            </w:pPr>
            <w:r>
              <w:rPr>
                <w:sz w:val="16"/>
              </w:rPr>
              <w:t>100%</w:t>
            </w:r>
          </w:p>
        </w:tc>
        <w:tc>
          <w:tcPr>
            <w:tcW w:type="dxa" w:w="2232"/>
            <w:shd w:fill="FFFFFF"/>
            <w:vAlign w:val="center"/>
          </w:tcPr>
          <w:p>
            <w:pPr>
              <w:spacing w:line="259" w:lineRule="auto" w:after="20"/>
              <w:jc w:val="center"/>
            </w:pPr>
            <w:r>
              <w:rPr>
                <w:sz w:val="16"/>
              </w:rPr>
              <w:t>均未超预算</w:t>
            </w:r>
          </w:p>
        </w:tc>
      </w:tr>
    </w:tbl>
    <w:p>
      <w:pPr>
        <w:spacing w:after="0"/>
      </w:pPr>
    </w:p>
    <w:p>
      <w:r>
        <w:t>在总投入均为51,164.93元的条件下，历史比例方案获得41,467次点击和2,903个注册；优化方案预测获得62,495次点击和4,303个注册。预期注册量提高48.2%，单位注册成本由17.62元/人下降至11.89元/人，下降32.5%。</w:t>
      </w:r>
    </w:p>
    <w:p>
      <w:pPr>
        <w:pStyle w:val="Heading1"/>
      </w:pPr>
      <w:r>
        <w:t>六 如何判断优化方案优越</w:t>
      </w:r>
    </w:p>
    <w:p>
      <w:r>
        <w:t>对比结论应同时满足“预算相同、效益提高、成本下降、约束满足”四个条件。本文两种方案的投入金额相同，预算完成率均为100%；优化方案的预期点击和注册更多，单位注册成本更低；同时满足关键词分类、推广单元关联、潜力词比例和投入上限等约束。因此，优化方案的优势来自资金配置效率提高，而不是预算扩张。</w:t>
      </w:r>
    </w:p>
    <w:p>
      <w:r>
        <w:t>需要注意，关键词逐日注册数据未提供，优化注册量使用日期整体点击注册率估计，属于模型预测。实际应用时应通过小规模投放或A/B测试验证增幅，不应将48.2%的模型提升率理解为上线后的保证值。</w:t>
      </w:r>
    </w:p>
    <w:p>
      <w:pPr>
        <w:pStyle w:val="Heading1"/>
      </w:pPr>
      <w:r>
        <w:t>七 是否还需要贪心模型</w:t>
      </w:r>
    </w:p>
    <w:p>
      <w:r>
        <w:t>不需要。历史比例方案已经提供了清晰的未优化基准，主模型又完成了参数敏感性检验。再增加贪心模型会带来一套新的排序与分配规则，但不会解决新的核心问题。论文采用“历史比例方案与混合整数规划方案”的两方案对比即可，结构简洁且容易解释。</w:t>
      </w:r>
    </w:p>
    <w:p>
      <w:pPr>
        <w:pStyle w:val="Heading1"/>
      </w:pPr>
      <w:r>
        <w:t>八 结论</w:t>
      </w:r>
    </w:p>
    <w:p>
      <w:r>
        <w:t>本文以历史比例分配作为唯一对比方案，在相同日期、投放单元和预算条件下与混合整数线性规划方案进行比较。16天总预算均为51,164.93元，优化方案预测注册量由历史基准的2,903人提高至4,303人，提升48.2%；单位注册成本由17.62元/人下降至11.89元/人，降低32.5%。结果表明，在不增加预算的条件下，重新选择关键词并优化投入结构能够提高资金使用效率。结合敏感性检验结果，最终建议采用混合整数线性规划方案，不再增加贪心对比模型。</w:t>
      </w:r>
    </w:p>
    <w:sectPr w:rsidR="00FC693F" w:rsidRPr="0006063C" w:rsidSect="00034616">
      <w:footerReference w:type="default" r:id="rId10"/>
      <w:pgSz w:w="12240" w:h="15840"/>
      <w:pgMar w:top="979" w:right="1080" w:bottom="92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E题第三问  历史比例对比方案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pPr>
    <w:rPr>
      <w:rFonts w:ascii="Noto Sans SC" w:hAnsi="Noto Sans SC" w:eastAsia="Noto Sans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SC" w:hAnsi="Noto Sans SC" w:eastAsia="Noto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SC" w:hAnsi="Noto Sans SC" w:eastAsia="Noto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SC" w:hAnsi="Noto Sans SC" w:eastAsia="Noto Sans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第三问历史比例分配对比方案及结果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