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第三问投放优化模型规范终稿</w:t>
      </w:r>
    </w:p>
    <w:p>
      <w:pPr>
        <w:jc w:val="center"/>
      </w:pPr>
      <w:r>
        <w:rPr>
          <w:b/>
          <w:sz w:val="24"/>
        </w:rPr>
        <w:t>模型分析 建立 求解与结果输出</w:t>
      </w:r>
    </w:p>
    <w:p>
      <w:r>
        <w:t>本节在问题一时间规律分析和问题二关键词分类的基础上，建立关键词选择与资金分配模型，给出2025年2月1日至8日和8月1日至8日的投放策略。为使符号简洁，将“方案ID与推广单元ID”的组合视为一个唯一投放单元；求解后再拆分成方案ID和推广单元两列，严格对应题目给出的结果模板。</w:t>
      </w:r>
    </w:p>
    <w:p>
      <w:pPr>
        <w:pStyle w:val="Heading1"/>
      </w:pPr>
      <w:r>
        <w:t>一 问题分析与建模思路</w:t>
      </w:r>
    </w:p>
    <w:p>
      <w:r>
        <w:t>第三问需要同时确定三个内容：某天在哪个推广单元投放哪些关键词、每个关键词投入多少、预计产生多少展位、点击、浏览和注册。关键词是否被选择属于离散决策，投入金额属于连续决策，适合使用混合整数线性规划。</w:t>
      </w:r>
    </w:p>
    <w:p>
      <w:r>
        <w:t>模型按以下顺序建立：先连接数据并确定候选词；再估计关键词基础效率和日期效率；随后定义选择变量和投入变量；最后以预期注册量最大为目标，在预算、关键词类型、投放单元关联和重复词约束下求解。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3096"/>
            <w:shd w:fill="173B67"/>
            <w:vAlign w:val="center"/>
          </w:tcPr>
          <w:p>
            <w:pPr>
              <w:jc w:val="center"/>
            </w:pPr>
            <w:r>
              <w:rPr>
                <w:b/>
                <w:color w:val="FFFFFF"/>
                <w:sz w:val="16"/>
              </w:rPr>
              <w:t>前两问结果</w:t>
            </w:r>
          </w:p>
        </w:tc>
        <w:tc>
          <w:tcPr>
            <w:tcW w:type="dxa" w:w="6120"/>
            <w:shd w:fill="173B67"/>
            <w:vAlign w:val="center"/>
          </w:tcPr>
          <w:p>
            <w:pPr>
              <w:jc w:val="center"/>
            </w:pPr>
            <w:r>
              <w:rPr>
                <w:b/>
                <w:color w:val="FFFFFF"/>
                <w:sz w:val="16"/>
              </w:rPr>
              <w:t>在第三问中的作用</w:t>
            </w:r>
          </w:p>
        </w:tc>
      </w:tr>
      <w:tr>
        <w:tc>
          <w:tcPr>
            <w:tcW w:type="dxa" w:w="3096"/>
            <w:vAlign w:val="center"/>
            <w:shd w:fill="FFFFFF"/>
          </w:tcPr>
          <w:p>
            <w:pPr>
              <w:spacing w:line="259" w:lineRule="auto" w:after="20"/>
              <w:jc w:val="center"/>
            </w:pPr>
            <w:r>
              <w:rPr>
                <w:sz w:val="16"/>
              </w:rPr>
              <w:t>问题一 时间与假日效应</w:t>
            </w:r>
          </w:p>
        </w:tc>
        <w:tc>
          <w:tcPr>
            <w:tcW w:type="dxa" w:w="6120"/>
            <w:vAlign w:val="center"/>
            <w:shd w:fill="FFFFFF"/>
          </w:tcPr>
          <w:p>
            <w:pPr>
              <w:spacing w:line="259" w:lineRule="auto" w:after="20"/>
              <w:jc w:val="center"/>
            </w:pPr>
            <w:r>
              <w:rPr>
                <w:sz w:val="16"/>
              </w:rPr>
              <w:t>构造日期修正系数，反映2月和8月各日的投放环境</w:t>
            </w:r>
          </w:p>
        </w:tc>
      </w:tr>
      <w:tr>
        <w:tc>
          <w:tcPr>
            <w:tcW w:type="dxa" w:w="3096"/>
            <w:vAlign w:val="center"/>
            <w:shd w:fill="F3F7FC"/>
          </w:tcPr>
          <w:p>
            <w:pPr>
              <w:spacing w:line="259" w:lineRule="auto" w:after="20"/>
              <w:jc w:val="center"/>
            </w:pPr>
            <w:r>
              <w:rPr>
                <w:sz w:val="16"/>
              </w:rPr>
              <w:t>问题一 成本与效果分析</w:t>
            </w:r>
          </w:p>
        </w:tc>
        <w:tc>
          <w:tcPr>
            <w:tcW w:type="dxa" w:w="6120"/>
            <w:vAlign w:val="center"/>
            <w:shd w:fill="F3F7FC"/>
          </w:tcPr>
          <w:p>
            <w:pPr>
              <w:spacing w:line="259" w:lineRule="auto" w:after="20"/>
              <w:jc w:val="center"/>
            </w:pPr>
            <w:r>
              <w:rPr>
                <w:sz w:val="16"/>
              </w:rPr>
              <w:t>确定单位投入点击效率、浏览深度和点击注册率</w:t>
            </w:r>
          </w:p>
        </w:tc>
      </w:tr>
      <w:tr>
        <w:tc>
          <w:tcPr>
            <w:tcW w:type="dxa" w:w="3096"/>
            <w:vAlign w:val="center"/>
            <w:shd w:fill="FFFFFF"/>
          </w:tcPr>
          <w:p>
            <w:pPr>
              <w:spacing w:line="259" w:lineRule="auto" w:after="20"/>
              <w:jc w:val="center"/>
            </w:pPr>
            <w:r>
              <w:rPr>
                <w:sz w:val="16"/>
              </w:rPr>
              <w:t>问题二 关键词分类</w:t>
            </w:r>
          </w:p>
        </w:tc>
        <w:tc>
          <w:tcPr>
            <w:tcW w:type="dxa" w:w="6120"/>
            <w:vAlign w:val="center"/>
            <w:shd w:fill="FFFFFF"/>
          </w:tcPr>
          <w:p>
            <w:pPr>
              <w:spacing w:line="259" w:lineRule="auto" w:after="20"/>
              <w:jc w:val="center"/>
            </w:pPr>
            <w:r>
              <w:rPr>
                <w:sz w:val="16"/>
              </w:rPr>
              <w:t>黄金词和重点词优先，潜力词限额投放，问题词和无效词剔除</w:t>
            </w:r>
          </w:p>
        </w:tc>
      </w:tr>
      <w:tr>
        <w:tc>
          <w:tcPr>
            <w:tcW w:type="dxa" w:w="3096"/>
            <w:vAlign w:val="center"/>
            <w:shd w:fill="F3F7FC"/>
          </w:tcPr>
          <w:p>
            <w:pPr>
              <w:spacing w:line="259" w:lineRule="auto" w:after="20"/>
              <w:jc w:val="center"/>
            </w:pPr>
            <w:r>
              <w:rPr>
                <w:sz w:val="16"/>
              </w:rPr>
              <w:t>问题一 关键词关联分析</w:t>
            </w:r>
          </w:p>
        </w:tc>
        <w:tc>
          <w:tcPr>
            <w:tcW w:type="dxa" w:w="6120"/>
            <w:vAlign w:val="center"/>
            <w:shd w:fill="F3F7FC"/>
          </w:tcPr>
          <w:p>
            <w:pPr>
              <w:spacing w:line="259" w:lineRule="auto" w:after="20"/>
              <w:jc w:val="center"/>
            </w:pPr>
            <w:r>
              <w:rPr>
                <w:sz w:val="16"/>
              </w:rPr>
              <w:t>限定关键词所属投放单元，并控制同词跨单元重复投放</w:t>
            </w:r>
          </w:p>
        </w:tc>
      </w:tr>
    </w:tbl>
    <w:p>
      <w:pPr>
        <w:spacing w:after="0"/>
      </w:pPr>
    </w:p>
    <w:p>
      <w:pPr>
        <w:pStyle w:val="Heading1"/>
      </w:pPr>
      <w:r>
        <w:t>二 数据处理与候选集确定</w:t>
      </w:r>
    </w:p>
    <w:p>
      <w:pPr>
        <w:pStyle w:val="Heading2"/>
      </w:pPr>
      <w:r>
        <w:t>2.1 数据连接</w:t>
      </w:r>
    </w:p>
    <w:p>
      <w:r>
        <w:t>Sheet1按“日期、方案ID、推广单元ID”提供日度消费和效果数据；Sheet2提供每日新注册数；Sheet3按“方案ID、推广单元ID、关键词”提供全年关键词表现。将方案ID和推广单元ID组成联合键，避免不同方案中的同名推广单元被错误合并。</w:t>
      </w:r>
    </w:p>
    <w:p>
      <w:pPr>
        <w:pStyle w:val="Heading2"/>
      </w:pPr>
      <w:r>
        <w:t>2.2 数据处理</w:t>
      </w:r>
    </w:p>
    <w:p>
      <w:pPr>
        <w:pStyle w:val="ListBullet"/>
      </w:pPr>
      <w:r>
        <w:t>统一日期格式，将消费额、点击量、浏览量等字段转换为数值。</w:t>
      </w:r>
    </w:p>
    <w:p>
      <w:pPr>
        <w:pStyle w:val="ListBullet"/>
      </w:pPr>
      <w:r>
        <w:t>将平均访问时长转换为秒；“/”保留为缺失，不填成0。</w:t>
      </w:r>
    </w:p>
    <w:p>
      <w:pPr>
        <w:pStyle w:val="ListBullet"/>
      </w:pPr>
      <w:r>
        <w:t>消费为0且点击、浏览均为0的记录作为无效词保留，但不进入优化。</w:t>
      </w:r>
    </w:p>
    <w:p>
      <w:pPr>
        <w:pStyle w:val="ListBullet"/>
      </w:pPr>
      <w:r>
        <w:t>关键词年度汇总数据不能复制成日度数据；日期差异由Sheet1和Sheet2估计。</w:t>
      </w:r>
    </w:p>
    <w:p>
      <w:pPr>
        <w:pStyle w:val="ListBullet"/>
      </w:pPr>
      <w:r>
        <w:t>对关键词原始相对效率进行经验贝叶斯平滑，C₀取非零消费额中位数8.06元；平滑后再进行1%—99%分位缩尾，避免小样本词独占预算。</w:t>
      </w:r>
    </w:p>
    <w:p>
      <w:pPr>
        <w:pStyle w:val="Heading2"/>
      </w:pPr>
      <w:r>
        <w:t>2.3 候选关键词</w:t>
      </w:r>
    </w:p>
    <w:p>
      <w:r>
        <w:t>记黄金词、重点词和潜力词集合分别为G、H和P，候选集合为G、H和P的并集。问题词和无效词不进入优化。潜力词保留是为了发现未来机会，但其投入比例受到限制。正式计算应直接读取问题二生成的result2.xlsx；本文基准计算在未提供result2.xlsx时按同一分类思想重算。</w:t>
      </w:r>
    </w:p>
    <w:p>
      <w:pPr>
        <w:pStyle w:val="Heading1"/>
      </w:pPr>
      <w:r>
        <w:t>三 符号说明</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592"/>
            <w:shd w:fill="173B67"/>
            <w:vAlign w:val="center"/>
          </w:tcPr>
          <w:p>
            <w:pPr>
              <w:jc w:val="center"/>
            </w:pPr>
            <w:r>
              <w:rPr>
                <w:b/>
                <w:color w:val="FFFFFF"/>
                <w:sz w:val="16"/>
              </w:rPr>
              <w:t>符号</w:t>
            </w:r>
          </w:p>
        </w:tc>
        <w:tc>
          <w:tcPr>
            <w:tcW w:type="dxa" w:w="6696"/>
            <w:shd w:fill="173B67"/>
            <w:vAlign w:val="center"/>
          </w:tcPr>
          <w:p>
            <w:pPr>
              <w:jc w:val="center"/>
            </w:pPr>
            <w:r>
              <w:rPr>
                <w:b/>
                <w:color w:val="FFFFFF"/>
                <w:sz w:val="16"/>
              </w:rPr>
              <w:t>含义</w:t>
            </w:r>
          </w:p>
        </w:tc>
      </w:tr>
      <w:tr>
        <w:tc>
          <w:tcPr>
            <w:tcW w:type="dxa" w:w="2592"/>
            <w:vAlign w:val="center"/>
            <w:shd w:fill="FFFFFF"/>
          </w:tcPr>
          <w:p>
            <w:pPr>
              <w:spacing w:line="259" w:lineRule="auto" w:after="20"/>
              <w:jc w:val="center"/>
            </w:pPr>
            <w:r>
              <w:rPr>
                <w:sz w:val="16"/>
              </w:rPr>
              <w:t>T</w:t>
            </w:r>
          </w:p>
        </w:tc>
        <w:tc>
          <w:tcPr>
            <w:tcW w:type="dxa" w:w="6696"/>
            <w:vAlign w:val="center"/>
            <w:shd w:fill="FFFFFF"/>
          </w:tcPr>
          <w:p>
            <w:pPr>
              <w:spacing w:line="259" w:lineRule="auto" w:after="20"/>
              <w:jc w:val="center"/>
            </w:pPr>
            <w:r>
              <w:rPr>
                <w:sz w:val="16"/>
              </w:rPr>
              <w:t>目标日期集合，共16天</w:t>
            </w:r>
          </w:p>
        </w:tc>
      </w:tr>
      <w:tr>
        <w:tc>
          <w:tcPr>
            <w:tcW w:type="dxa" w:w="2592"/>
            <w:vAlign w:val="center"/>
            <w:shd w:fill="F3F7FC"/>
          </w:tcPr>
          <w:p>
            <w:pPr>
              <w:spacing w:line="259" w:lineRule="auto" w:after="20"/>
              <w:jc w:val="center"/>
            </w:pPr>
            <w:r>
              <w:rPr>
                <w:sz w:val="16"/>
              </w:rPr>
              <w:t>J</w:t>
            </w:r>
          </w:p>
        </w:tc>
        <w:tc>
          <w:tcPr>
            <w:tcW w:type="dxa" w:w="6696"/>
            <w:vAlign w:val="center"/>
            <w:shd w:fill="F3F7FC"/>
          </w:tcPr>
          <w:p>
            <w:pPr>
              <w:spacing w:line="259" w:lineRule="auto" w:after="20"/>
              <w:jc w:val="center"/>
            </w:pPr>
            <w:r>
              <w:rPr>
                <w:sz w:val="16"/>
              </w:rPr>
              <w:t>唯一投放单元集合</w:t>
            </w:r>
          </w:p>
        </w:tc>
      </w:tr>
      <w:tr>
        <w:tc>
          <w:tcPr>
            <w:tcW w:type="dxa" w:w="2592"/>
            <w:vAlign w:val="center"/>
            <w:shd w:fill="FFFFFF"/>
          </w:tcPr>
          <w:p>
            <w:pPr>
              <w:spacing w:line="259" w:lineRule="auto" w:after="20"/>
              <w:jc w:val="center"/>
            </w:pPr>
            <w:r>
              <w:rPr>
                <w:sz w:val="16"/>
              </w:rPr>
              <w:t>Iⱼ</w:t>
            </w:r>
          </w:p>
        </w:tc>
        <w:tc>
          <w:tcPr>
            <w:tcW w:type="dxa" w:w="6696"/>
            <w:vAlign w:val="center"/>
            <w:shd w:fill="FFFFFF"/>
          </w:tcPr>
          <w:p>
            <w:pPr>
              <w:spacing w:line="259" w:lineRule="auto" w:after="20"/>
              <w:jc w:val="center"/>
            </w:pPr>
            <w:r>
              <w:rPr>
                <w:sz w:val="16"/>
              </w:rPr>
              <w:t>允许在投放单元j中使用的候选关键词集合</w:t>
            </w:r>
          </w:p>
        </w:tc>
      </w:tr>
      <w:tr>
        <w:tc>
          <w:tcPr>
            <w:tcW w:type="dxa" w:w="2592"/>
            <w:vAlign w:val="center"/>
            <w:shd w:fill="F3F7FC"/>
          </w:tcPr>
          <w:p>
            <w:pPr>
              <w:spacing w:line="259" w:lineRule="auto" w:after="20"/>
              <w:jc w:val="center"/>
            </w:pPr>
            <w:r>
              <w:rPr>
                <w:sz w:val="16"/>
              </w:rPr>
              <w:t>t、j、i</w:t>
            </w:r>
          </w:p>
        </w:tc>
        <w:tc>
          <w:tcPr>
            <w:tcW w:type="dxa" w:w="6696"/>
            <w:vAlign w:val="center"/>
            <w:shd w:fill="F3F7FC"/>
          </w:tcPr>
          <w:p>
            <w:pPr>
              <w:spacing w:line="259" w:lineRule="auto" w:after="20"/>
              <w:jc w:val="center"/>
            </w:pPr>
            <w:r>
              <w:rPr>
                <w:sz w:val="16"/>
              </w:rPr>
              <w:t>分别表示日期、投放单元和关键词</w:t>
            </w:r>
          </w:p>
        </w:tc>
      </w:tr>
      <w:tr>
        <w:tc>
          <w:tcPr>
            <w:tcW w:type="dxa" w:w="2592"/>
            <w:vAlign w:val="center"/>
            <w:shd w:fill="FFFFFF"/>
          </w:tcPr>
          <w:p>
            <w:pPr>
              <w:spacing w:line="259" w:lineRule="auto" w:after="20"/>
              <w:jc w:val="center"/>
            </w:pPr>
            <w:r>
              <w:rPr>
                <w:sz w:val="16"/>
              </w:rPr>
              <w:t>Bⱼₜ</w:t>
            </w:r>
          </w:p>
        </w:tc>
        <w:tc>
          <w:tcPr>
            <w:tcW w:type="dxa" w:w="6696"/>
            <w:vAlign w:val="center"/>
            <w:shd w:fill="FFFFFF"/>
          </w:tcPr>
          <w:p>
            <w:pPr>
              <w:spacing w:line="259" w:lineRule="auto" w:after="20"/>
              <w:jc w:val="center"/>
            </w:pPr>
            <w:r>
              <w:rPr>
                <w:sz w:val="16"/>
              </w:rPr>
              <w:t>日期t投放单元j的预算</w:t>
            </w:r>
          </w:p>
        </w:tc>
      </w:tr>
      <w:tr>
        <w:tc>
          <w:tcPr>
            <w:tcW w:type="dxa" w:w="2592"/>
            <w:vAlign w:val="center"/>
            <w:shd w:fill="F3F7FC"/>
          </w:tcPr>
          <w:p>
            <w:pPr>
              <w:spacing w:line="259" w:lineRule="auto" w:after="20"/>
              <w:jc w:val="center"/>
            </w:pPr>
            <w:r>
              <w:rPr>
                <w:sz w:val="16"/>
              </w:rPr>
              <w:t>xᵢⱼₜ</w:t>
            </w:r>
          </w:p>
        </w:tc>
        <w:tc>
          <w:tcPr>
            <w:tcW w:type="dxa" w:w="6696"/>
            <w:vAlign w:val="center"/>
            <w:shd w:fill="F3F7FC"/>
          </w:tcPr>
          <w:p>
            <w:pPr>
              <w:spacing w:line="259" w:lineRule="auto" w:after="20"/>
              <w:jc w:val="center"/>
            </w:pPr>
            <w:r>
              <w:rPr>
                <w:sz w:val="16"/>
              </w:rPr>
              <w:t>是否选择关键词的0-1变量</w:t>
            </w:r>
          </w:p>
        </w:tc>
      </w:tr>
      <w:tr>
        <w:tc>
          <w:tcPr>
            <w:tcW w:type="dxa" w:w="2592"/>
            <w:vAlign w:val="center"/>
            <w:shd w:fill="FFFFFF"/>
          </w:tcPr>
          <w:p>
            <w:pPr>
              <w:spacing w:line="259" w:lineRule="auto" w:after="20"/>
              <w:jc w:val="center"/>
            </w:pPr>
            <w:r>
              <w:rPr>
                <w:sz w:val="16"/>
              </w:rPr>
              <w:t>bᵢⱼₜ</w:t>
            </w:r>
          </w:p>
        </w:tc>
        <w:tc>
          <w:tcPr>
            <w:tcW w:type="dxa" w:w="6696"/>
            <w:vAlign w:val="center"/>
            <w:shd w:fill="FFFFFF"/>
          </w:tcPr>
          <w:p>
            <w:pPr>
              <w:spacing w:line="259" w:lineRule="auto" w:after="20"/>
              <w:jc w:val="center"/>
            </w:pPr>
            <w:r>
              <w:rPr>
                <w:sz w:val="16"/>
              </w:rPr>
              <w:t>关键词投入金额</w:t>
            </w:r>
          </w:p>
        </w:tc>
      </w:tr>
      <w:tr>
        <w:tc>
          <w:tcPr>
            <w:tcW w:type="dxa" w:w="2592"/>
            <w:vAlign w:val="center"/>
            <w:shd w:fill="F3F7FC"/>
          </w:tcPr>
          <w:p>
            <w:pPr>
              <w:spacing w:line="259" w:lineRule="auto" w:after="20"/>
              <w:jc w:val="center"/>
            </w:pPr>
            <w:r>
              <w:rPr>
                <w:sz w:val="16"/>
              </w:rPr>
              <w:t>K̂ᵢⱼₜ、V̂ᵢⱼₜ、R̂ᵢⱼₜ</w:t>
            </w:r>
          </w:p>
        </w:tc>
        <w:tc>
          <w:tcPr>
            <w:tcW w:type="dxa" w:w="6696"/>
            <w:vAlign w:val="center"/>
            <w:shd w:fill="F3F7FC"/>
          </w:tcPr>
          <w:p>
            <w:pPr>
              <w:spacing w:line="259" w:lineRule="auto" w:after="20"/>
              <w:jc w:val="center"/>
            </w:pPr>
            <w:r>
              <w:rPr>
                <w:sz w:val="16"/>
              </w:rPr>
              <w:t>预期点击量、预期浏览量和预期注册量</w:t>
            </w:r>
          </w:p>
        </w:tc>
      </w:tr>
    </w:tbl>
    <w:p>
      <w:pPr>
        <w:spacing w:after="0"/>
      </w:pPr>
    </w:p>
    <w:p>
      <w:r>
        <w:t>为避免下标过多，方案ID没有单独设置下标，而是包含在投放单元j中。输出结果时，根据联合键把j还原成方案ID和推广单元。</w:t>
      </w:r>
    </w:p>
    <w:p>
      <w:pPr>
        <w:pStyle w:val="Heading1"/>
      </w:pPr>
      <w:r>
        <w:t>四 效果参数估计</w:t>
      </w:r>
    </w:p>
    <w:p>
      <w:pPr>
        <w:pStyle w:val="Heading2"/>
      </w:pPr>
      <w:r>
        <w:t>4.1 日期修正系数</w:t>
      </w:r>
    </w:p>
    <w:p>
      <w:r>
        <w:t>问题一显示总体假日净效应不显著，因此不设置统一假日折扣。但不同目标日期的实际点击效率仍有差异。先计算日期t优化前每投入1元获得的点击量qₜ，再与基准期平均单位投入点击量比较：</w:t>
      </w:r>
    </w:p>
    <w:p>
      <w:pPr>
        <w:spacing w:before="60" w:after="60"/>
        <w:jc w:val="center"/>
      </w:pPr>
      <w:r>
        <w:drawing>
          <wp:inline xmlns:a="http://schemas.openxmlformats.org/drawingml/2006/main" xmlns:pic="http://schemas.openxmlformats.org/drawingml/2006/picture">
            <wp:extent cx="6126480" cy="642710"/>
            <wp:docPr id="1" name="Picture 1"/>
            <wp:cNvGraphicFramePr>
              <a:graphicFrameLocks noChangeAspect="1"/>
            </wp:cNvGraphicFramePr>
            <a:graphic>
              <a:graphicData uri="http://schemas.openxmlformats.org/drawingml/2006/picture">
                <pic:pic>
                  <pic:nvPicPr>
                    <pic:cNvPr id="0" name="01_theta.png"/>
                    <pic:cNvPicPr/>
                  </pic:nvPicPr>
                  <pic:blipFill>
                    <a:blip r:embed="rId9"/>
                    <a:stretch>
                      <a:fillRect/>
                    </a:stretch>
                  </pic:blipFill>
                  <pic:spPr>
                    <a:xfrm>
                      <a:off x="0" y="0"/>
                      <a:ext cx="6126480" cy="642710"/>
                    </a:xfrm>
                    <a:prstGeom prst="rect"/>
                  </pic:spPr>
                </pic:pic>
              </a:graphicData>
            </a:graphic>
          </wp:inline>
        </w:drawing>
      </w:r>
    </w:p>
    <w:p>
      <w:r>
        <w:t>式中，Kₜ⁽⁰⁾和Cₜ⁽⁰⁾分别为日期t优化前的总点击量和总消费额；上标“(0)”表示优化前基准数据；T₀为基准日期集合；θₜ为日期修正系数。θₜ大于1表示该日效率高于平均水平，小于1表示低于平均水平。附件1计算得到全年平均单位投入点击量为0.5854次/元。</w:t>
      </w:r>
    </w:p>
    <w:p>
      <w:pPr>
        <w:keepNext/>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theta.png"/>
                    <pic:cNvPicPr/>
                  </pic:nvPicPr>
                  <pic:blipFill>
                    <a:blip r:embed="rId10"/>
                    <a:stretch>
                      <a:fillRect/>
                    </a:stretch>
                  </pic:blipFill>
                  <pic:spPr>
                    <a:xfrm>
                      <a:off x="0" y="0"/>
                      <a:ext cx="5852160" cy="2926080"/>
                    </a:xfrm>
                    <a:prstGeom prst="rect"/>
                  </pic:spPr>
                </pic:pic>
              </a:graphicData>
            </a:graphic>
          </wp:inline>
        </w:drawing>
      </w:r>
    </w:p>
    <w:p>
      <w:pPr>
        <w:spacing w:after="100"/>
        <w:jc w:val="center"/>
      </w:pPr>
      <w:r>
        <w:rPr>
          <w:b/>
          <w:sz w:val="18"/>
        </w:rPr>
        <w:t>图1  目标日期投放效率修正系数</w:t>
      </w:r>
    </w:p>
    <w:p>
      <w:r>
        <w:t>图1表明，2月1日至8日的日期修正系数均低于1，8月1日至8日均高于1。该图只说明单位投入点击效率的日期差异，不能单独说明注册效益，因为不同日期的点击注册率也不同。</w:t>
      </w:r>
    </w:p>
    <w:p>
      <w:pPr>
        <w:pStyle w:val="Heading2"/>
      </w:pPr>
      <w:r>
        <w:t>4.2 关键词与投放单元的基础效率</w:t>
      </w:r>
    </w:p>
    <w:p>
      <w:r>
        <w:t>为消除不同投放单元基础流量水平的差异，先计算投放单元j的历史平均单位投入点击量，再计算关键词原始相对效率。考虑到极低消费额的一次偶然点击会产生虚假高效率，进一步采用经验贝叶斯收缩：</w:t>
      </w:r>
    </w:p>
    <w:p>
      <w:pPr>
        <w:spacing w:before="60" w:after="60"/>
        <w:jc w:val="center"/>
      </w:pPr>
      <w:r>
        <w:drawing>
          <wp:inline xmlns:a="http://schemas.openxmlformats.org/drawingml/2006/main" xmlns:pic="http://schemas.openxmlformats.org/drawingml/2006/picture">
            <wp:extent cx="6126480" cy="463027"/>
            <wp:docPr id="3" name="Picture 3"/>
            <wp:cNvGraphicFramePr>
              <a:graphicFrameLocks noChangeAspect="1"/>
            </wp:cNvGraphicFramePr>
            <a:graphic>
              <a:graphicData uri="http://schemas.openxmlformats.org/drawingml/2006/picture">
                <pic:pic>
                  <pic:nvPicPr>
                    <pic:cNvPr id="0" name="02_base.png"/>
                    <pic:cNvPicPr/>
                  </pic:nvPicPr>
                  <pic:blipFill>
                    <a:blip r:embed="rId11"/>
                    <a:stretch>
                      <a:fillRect/>
                    </a:stretch>
                  </pic:blipFill>
                  <pic:spPr>
                    <a:xfrm>
                      <a:off x="0" y="0"/>
                      <a:ext cx="6126480" cy="463027"/>
                    </a:xfrm>
                    <a:prstGeom prst="rect"/>
                  </pic:spPr>
                </pic:pic>
              </a:graphicData>
            </a:graphic>
          </wp:inline>
        </w:drawing>
      </w:r>
    </w:p>
    <w:p>
      <w:r>
        <w:t>式中，ηᵢⱼʳᵃʷ为原始相对效率，ηᵢⱼ为平滑后的相对效率，C₀为平滑强度。附件中非零关键词消费额的中位数为8.06元，因此取C₀=8.06。此时，中等消费规模关键词的自身效率与推广单元平均效率各占50%；消费越少，越向单元平均水平1收缩；消费越多，越保留自身信息。平滑后再按1%和99%分位数缩尾。</w:t>
      </w:r>
    </w:p>
    <w:p>
      <w:r>
        <w:t>该处理不是人为降低所有关键词效率，而是降低低证据关键词的可信度。两种对比方案使用同一组平滑参数，但由于优化方案会主动选择高效率词，平滑会减少不真实的“挑词收益”，使预测提升更加稳健。</w:t>
      </w:r>
    </w:p>
    <w:p>
      <w:pPr>
        <w:pStyle w:val="Heading2"/>
      </w:pPr>
      <w:r>
        <w:t>4.3 浏览 注册与展位参数</w:t>
      </w:r>
    </w:p>
    <w:p>
      <w:pPr>
        <w:spacing w:before="60" w:after="60"/>
        <w:jc w:val="center"/>
      </w:pPr>
      <w:r>
        <w:drawing>
          <wp:inline xmlns:a="http://schemas.openxmlformats.org/drawingml/2006/main" xmlns:pic="http://schemas.openxmlformats.org/drawingml/2006/picture">
            <wp:extent cx="6126480" cy="463027"/>
            <wp:docPr id="4" name="Picture 4"/>
            <wp:cNvGraphicFramePr>
              <a:graphicFrameLocks noChangeAspect="1"/>
            </wp:cNvGraphicFramePr>
            <a:graphic>
              <a:graphicData uri="http://schemas.openxmlformats.org/drawingml/2006/picture">
                <pic:pic>
                  <pic:nvPicPr>
                    <pic:cNvPr id="0" name="03_depth.png"/>
                    <pic:cNvPicPr/>
                  </pic:nvPicPr>
                  <pic:blipFill>
                    <a:blip r:embed="rId12"/>
                    <a:stretch>
                      <a:fillRect/>
                    </a:stretch>
                  </pic:blipFill>
                  <pic:spPr>
                    <a:xfrm>
                      <a:off x="0" y="0"/>
                      <a:ext cx="6126480" cy="463027"/>
                    </a:xfrm>
                    <a:prstGeom prst="rect"/>
                  </pic:spPr>
                </pic:pic>
              </a:graphicData>
            </a:graphic>
          </wp:inline>
        </w:drawing>
      </w:r>
    </w:p>
    <w:p>
      <w:r>
        <w:t>式中，Vᵢ为关键词i的全年浏览量，dᵢ为平均每次点击产生的浏览量；Rₜ⁽⁰⁾为日期t的新注册数，ρₜ为当日点击注册率。由于Sheet2中的新注册数并非严格的关键词归因数据，ρₜ只能作为整体转化参数。</w:t>
      </w:r>
    </w:p>
    <w:p>
      <w:r>
        <w:t>结果模板要求填写“预期展位”，但附件没有关键词级展位数据。本文根据投放单元日度的首位展现、上方位展现和其他展现构造平均展位代理值：</w:t>
      </w:r>
    </w:p>
    <w:p>
      <w:pPr>
        <w:spacing w:before="60" w:after="60"/>
        <w:jc w:val="center"/>
      </w:pPr>
      <w:r>
        <w:drawing>
          <wp:inline xmlns:a="http://schemas.openxmlformats.org/drawingml/2006/main" xmlns:pic="http://schemas.openxmlformats.org/drawingml/2006/picture">
            <wp:extent cx="6126480" cy="463027"/>
            <wp:docPr id="5" name="Picture 5"/>
            <wp:cNvGraphicFramePr>
              <a:graphicFrameLocks noChangeAspect="1"/>
            </wp:cNvGraphicFramePr>
            <a:graphic>
              <a:graphicData uri="http://schemas.openxmlformats.org/drawingml/2006/picture">
                <pic:pic>
                  <pic:nvPicPr>
                    <pic:cNvPr id="0" name="04_position.png"/>
                    <pic:cNvPicPr/>
                  </pic:nvPicPr>
                  <pic:blipFill>
                    <a:blip r:embed="rId13"/>
                    <a:stretch>
                      <a:fillRect/>
                    </a:stretch>
                  </pic:blipFill>
                  <pic:spPr>
                    <a:xfrm>
                      <a:off x="0" y="0"/>
                      <a:ext cx="6126480" cy="463027"/>
                    </a:xfrm>
                    <a:prstGeom prst="rect"/>
                  </pic:spPr>
                </pic:pic>
              </a:graphicData>
            </a:graphic>
          </wp:inline>
        </w:drawing>
      </w:r>
    </w:p>
    <w:p>
      <w:r>
        <w:t>式中，Eⱼₜ、Eⱼₜ⁽ᵗᵒᵖ⁾和Eⱼₜ⁽¹⁾分别为总展现量、上方位展现量和首位展现量。首位赋值1、上方非首位赋值2.5、其他位置赋值4。pⱼₜ越小表示平均展位越靠前。该指标是基于现有字段构造的代理值，应在论文中明确说明。</w:t>
      </w:r>
    </w:p>
    <w:p>
      <w:pPr>
        <w:pStyle w:val="Heading2"/>
      </w:pPr>
      <w:r>
        <w:t>4.4 展位代表值的设置依据</w:t>
      </w:r>
    </w:p>
    <w:p>
      <w:r>
        <w:t>式（4）的三个数值不是TOPSIS权重，也不表示三类展现的重要程度，而是将不同展现区域换算成可求平均的代表性名次。其设置依据如下。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376"/>
            <w:shd w:fill="173B67"/>
            <w:vAlign w:val="center"/>
          </w:tcPr>
          <w:p>
            <w:pPr>
              <w:jc w:val="center"/>
            </w:pPr>
            <w:r>
              <w:rPr>
                <w:b/>
                <w:color w:val="FFFFFF"/>
                <w:sz w:val="16"/>
              </w:rPr>
              <w:t>展现类别</w:t>
            </w:r>
          </w:p>
        </w:tc>
        <w:tc>
          <w:tcPr>
            <w:tcW w:type="dxa" w:w="1224"/>
            <w:shd w:fill="173B67"/>
            <w:vAlign w:val="center"/>
          </w:tcPr>
          <w:p>
            <w:pPr>
              <w:jc w:val="center"/>
            </w:pPr>
            <w:r>
              <w:rPr>
                <w:b/>
                <w:color w:val="FFFFFF"/>
                <w:sz w:val="16"/>
              </w:rPr>
              <w:t>代表值</w:t>
            </w:r>
          </w:p>
        </w:tc>
        <w:tc>
          <w:tcPr>
            <w:tcW w:type="dxa" w:w="5616"/>
            <w:shd w:fill="173B67"/>
            <w:vAlign w:val="center"/>
          </w:tcPr>
          <w:p>
            <w:pPr>
              <w:jc w:val="center"/>
            </w:pPr>
            <w:r>
              <w:rPr>
                <w:b/>
                <w:color w:val="FFFFFF"/>
                <w:sz w:val="16"/>
              </w:rPr>
              <w:t>设置理由</w:t>
            </w:r>
          </w:p>
        </w:tc>
      </w:tr>
      <w:tr>
        <w:tc>
          <w:tcPr>
            <w:tcW w:type="dxa" w:w="2376"/>
            <w:vAlign w:val="center"/>
            <w:shd w:fill="FFFFFF"/>
          </w:tcPr>
          <w:p>
            <w:pPr>
              <w:spacing w:line="259" w:lineRule="auto" w:after="20"/>
              <w:jc w:val="center"/>
            </w:pPr>
            <w:r>
              <w:rPr>
                <w:sz w:val="16"/>
              </w:rPr>
              <w:t>上方首位展现</w:t>
            </w:r>
          </w:p>
        </w:tc>
        <w:tc>
          <w:tcPr>
            <w:tcW w:type="dxa" w:w="1224"/>
            <w:vAlign w:val="center"/>
            <w:shd w:fill="FFFFFF"/>
          </w:tcPr>
          <w:p>
            <w:pPr>
              <w:spacing w:line="259" w:lineRule="auto" w:after="20"/>
              <w:jc w:val="center"/>
            </w:pPr>
            <w:r>
              <w:rPr>
                <w:sz w:val="16"/>
              </w:rPr>
              <w:t>1</w:t>
            </w:r>
          </w:p>
        </w:tc>
        <w:tc>
          <w:tcPr>
            <w:tcW w:type="dxa" w:w="5616"/>
            <w:vAlign w:val="center"/>
            <w:shd w:fill="FFFFFF"/>
          </w:tcPr>
          <w:p>
            <w:pPr>
              <w:spacing w:line="259" w:lineRule="auto" w:after="20"/>
              <w:jc w:val="center"/>
            </w:pPr>
            <w:r>
              <w:rPr>
                <w:sz w:val="16"/>
              </w:rPr>
              <w:t>附件明确表示搜索结果第一位，因此直接用名次1表示</w:t>
            </w:r>
          </w:p>
        </w:tc>
      </w:tr>
      <w:tr>
        <w:tc>
          <w:tcPr>
            <w:tcW w:type="dxa" w:w="2376"/>
            <w:vAlign w:val="center"/>
            <w:shd w:fill="F3F7FC"/>
          </w:tcPr>
          <w:p>
            <w:pPr>
              <w:spacing w:line="259" w:lineRule="auto" w:after="20"/>
              <w:jc w:val="center"/>
            </w:pPr>
            <w:r>
              <w:rPr>
                <w:sz w:val="16"/>
              </w:rPr>
              <w:t>上方非首位展现</w:t>
            </w:r>
          </w:p>
        </w:tc>
        <w:tc>
          <w:tcPr>
            <w:tcW w:type="dxa" w:w="1224"/>
            <w:vAlign w:val="center"/>
            <w:shd w:fill="F3F7FC"/>
          </w:tcPr>
          <w:p>
            <w:pPr>
              <w:spacing w:line="259" w:lineRule="auto" w:after="20"/>
              <w:jc w:val="center"/>
            </w:pPr>
            <w:r>
              <w:rPr>
                <w:sz w:val="16"/>
              </w:rPr>
              <w:t>2.5</w:t>
            </w:r>
          </w:p>
        </w:tc>
        <w:tc>
          <w:tcPr>
            <w:tcW w:type="dxa" w:w="5616"/>
            <w:vAlign w:val="center"/>
            <w:shd w:fill="F3F7FC"/>
          </w:tcPr>
          <w:p>
            <w:pPr>
              <w:spacing w:line="259" w:lineRule="auto" w:after="20"/>
              <w:jc w:val="center"/>
            </w:pPr>
            <w:r>
              <w:rPr>
                <w:sz w:val="16"/>
              </w:rPr>
              <w:t>附件说明上方位位于前三名；剔除首位后只剩第2位和第3位，在缺少具体分布时取区间中点(2+3)/2=2.5</w:t>
            </w:r>
          </w:p>
        </w:tc>
      </w:tr>
      <w:tr>
        <w:tc>
          <w:tcPr>
            <w:tcW w:type="dxa" w:w="2376"/>
            <w:vAlign w:val="center"/>
            <w:shd w:fill="FFFFFF"/>
          </w:tcPr>
          <w:p>
            <w:pPr>
              <w:spacing w:line="259" w:lineRule="auto" w:after="20"/>
              <w:jc w:val="center"/>
            </w:pPr>
            <w:r>
              <w:rPr>
                <w:sz w:val="16"/>
              </w:rPr>
              <w:t>其他位置展现</w:t>
            </w:r>
          </w:p>
        </w:tc>
        <w:tc>
          <w:tcPr>
            <w:tcW w:type="dxa" w:w="1224"/>
            <w:vAlign w:val="center"/>
            <w:shd w:fill="FFFFFF"/>
          </w:tcPr>
          <w:p>
            <w:pPr>
              <w:spacing w:line="259" w:lineRule="auto" w:after="20"/>
              <w:jc w:val="center"/>
            </w:pPr>
            <w:r>
              <w:rPr>
                <w:sz w:val="16"/>
              </w:rPr>
              <w:t>4</w:t>
            </w:r>
          </w:p>
        </w:tc>
        <w:tc>
          <w:tcPr>
            <w:tcW w:type="dxa" w:w="5616"/>
            <w:vAlign w:val="center"/>
            <w:shd w:fill="FFFFFF"/>
          </w:tcPr>
          <w:p>
            <w:pPr>
              <w:spacing w:line="259" w:lineRule="auto" w:after="20"/>
              <w:jc w:val="center"/>
            </w:pPr>
            <w:r>
              <w:rPr>
                <w:sz w:val="16"/>
              </w:rPr>
              <w:t>只能确定其未进入前三名，即名次大于3；在必须输出单一数值且缺少更细排名时，取最接近前三名边界的第4位作为保守、简洁的基准代表值</w:t>
            </w:r>
          </w:p>
        </w:tc>
      </w:tr>
    </w:tbl>
    <w:p>
      <w:pPr>
        <w:spacing w:after="0"/>
      </w:pPr>
    </w:p>
    <w:p>
      <w:r>
        <w:t>上述处理遵循“已有精确信息直接使用、区间信息使用中点、开区间信息使用边界邻近值”的原则。它不声称其他位置都真实位于第4位，因此pⱼₜ应称为“平均展位代理值”，只适合比较不同日期或投放单元的相对位置。若平台能够提供关键词真实平均排名，应直接替换该代理值。</w:t>
      </w:r>
    </w:p>
    <w:p>
      <w:pPr>
        <w:pStyle w:val="Heading2"/>
      </w:pPr>
      <w:r>
        <w:t>4.5 展位赋值的敏感性检验</w:t>
      </w:r>
    </w:p>
    <w:p>
      <w:r>
        <w:t>由于“其他位置”可能明显低于第4位，需改变代表值重新计算pⱼₜ，检验结论是否依赖某一组赋值。设置三种情景：</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088"/>
            <w:shd w:fill="173B67"/>
            <w:vAlign w:val="center"/>
          </w:tcPr>
          <w:p>
            <w:pPr>
              <w:jc w:val="center"/>
            </w:pPr>
            <w:r>
              <w:rPr>
                <w:b/>
                <w:color w:val="FFFFFF"/>
                <w:sz w:val="16"/>
              </w:rPr>
              <w:t>情景</w:t>
            </w:r>
          </w:p>
        </w:tc>
        <w:tc>
          <w:tcPr>
            <w:tcW w:type="dxa" w:w="1728"/>
            <w:shd w:fill="173B67"/>
            <w:vAlign w:val="center"/>
          </w:tcPr>
          <w:p>
            <w:pPr>
              <w:jc w:val="center"/>
            </w:pPr>
            <w:r>
              <w:rPr>
                <w:b/>
                <w:color w:val="FFFFFF"/>
                <w:sz w:val="16"/>
              </w:rPr>
              <w:t>上方非首位</w:t>
            </w:r>
          </w:p>
        </w:tc>
        <w:tc>
          <w:tcPr>
            <w:tcW w:type="dxa" w:w="1656"/>
            <w:shd w:fill="173B67"/>
            <w:vAlign w:val="center"/>
          </w:tcPr>
          <w:p>
            <w:pPr>
              <w:jc w:val="center"/>
            </w:pPr>
            <w:r>
              <w:rPr>
                <w:b/>
                <w:color w:val="FFFFFF"/>
                <w:sz w:val="16"/>
              </w:rPr>
              <w:t>其他位置</w:t>
            </w:r>
          </w:p>
        </w:tc>
        <w:tc>
          <w:tcPr>
            <w:tcW w:type="dxa" w:w="4320"/>
            <w:shd w:fill="173B67"/>
            <w:vAlign w:val="center"/>
          </w:tcPr>
          <w:p>
            <w:pPr>
              <w:jc w:val="center"/>
            </w:pPr>
            <w:r>
              <w:rPr>
                <w:b/>
                <w:color w:val="FFFFFF"/>
                <w:sz w:val="16"/>
              </w:rPr>
              <w:t>含义</w:t>
            </w:r>
          </w:p>
        </w:tc>
      </w:tr>
      <w:tr>
        <w:tc>
          <w:tcPr>
            <w:tcW w:type="dxa" w:w="2088"/>
            <w:vAlign w:val="center"/>
            <w:shd w:fill="FFFFFF"/>
          </w:tcPr>
          <w:p>
            <w:pPr>
              <w:spacing w:line="259" w:lineRule="auto" w:after="20"/>
              <w:jc w:val="center"/>
            </w:pPr>
            <w:r>
              <w:rPr>
                <w:sz w:val="16"/>
              </w:rPr>
              <w:t>情景A 位置较靠前</w:t>
            </w:r>
          </w:p>
        </w:tc>
        <w:tc>
          <w:tcPr>
            <w:tcW w:type="dxa" w:w="1728"/>
            <w:vAlign w:val="center"/>
            <w:shd w:fill="FFFFFF"/>
          </w:tcPr>
          <w:p>
            <w:pPr>
              <w:spacing w:line="259" w:lineRule="auto" w:after="20"/>
              <w:jc w:val="center"/>
            </w:pPr>
            <w:r>
              <w:rPr>
                <w:sz w:val="16"/>
              </w:rPr>
              <w:t>2</w:t>
            </w:r>
          </w:p>
        </w:tc>
        <w:tc>
          <w:tcPr>
            <w:tcW w:type="dxa" w:w="1656"/>
            <w:vAlign w:val="center"/>
            <w:shd w:fill="FFFFFF"/>
          </w:tcPr>
          <w:p>
            <w:pPr>
              <w:spacing w:line="259" w:lineRule="auto" w:after="20"/>
              <w:jc w:val="center"/>
            </w:pPr>
            <w:r>
              <w:rPr>
                <w:sz w:val="16"/>
              </w:rPr>
              <w:t>3.5</w:t>
            </w:r>
          </w:p>
        </w:tc>
        <w:tc>
          <w:tcPr>
            <w:tcW w:type="dxa" w:w="4320"/>
            <w:vAlign w:val="center"/>
            <w:shd w:fill="FFFFFF"/>
          </w:tcPr>
          <w:p>
            <w:pPr>
              <w:spacing w:line="259" w:lineRule="auto" w:after="20"/>
              <w:jc w:val="center"/>
            </w:pPr>
            <w:r>
              <w:rPr>
                <w:sz w:val="16"/>
              </w:rPr>
              <w:t>假定两类非首位展现更接近上方区域</w:t>
            </w:r>
          </w:p>
        </w:tc>
      </w:tr>
      <w:tr>
        <w:tc>
          <w:tcPr>
            <w:tcW w:type="dxa" w:w="2088"/>
            <w:vAlign w:val="center"/>
            <w:shd w:fill="F3F7FC"/>
          </w:tcPr>
          <w:p>
            <w:pPr>
              <w:spacing w:line="259" w:lineRule="auto" w:after="20"/>
              <w:jc w:val="center"/>
            </w:pPr>
            <w:r>
              <w:rPr>
                <w:sz w:val="16"/>
              </w:rPr>
              <w:t>基准情景</w:t>
            </w:r>
          </w:p>
        </w:tc>
        <w:tc>
          <w:tcPr>
            <w:tcW w:type="dxa" w:w="1728"/>
            <w:vAlign w:val="center"/>
            <w:shd w:fill="F3F7FC"/>
          </w:tcPr>
          <w:p>
            <w:pPr>
              <w:spacing w:line="259" w:lineRule="auto" w:after="20"/>
              <w:jc w:val="center"/>
            </w:pPr>
            <w:r>
              <w:rPr>
                <w:sz w:val="16"/>
              </w:rPr>
              <w:t>2.5</w:t>
            </w:r>
          </w:p>
        </w:tc>
        <w:tc>
          <w:tcPr>
            <w:tcW w:type="dxa" w:w="1656"/>
            <w:vAlign w:val="center"/>
            <w:shd w:fill="F3F7FC"/>
          </w:tcPr>
          <w:p>
            <w:pPr>
              <w:spacing w:line="259" w:lineRule="auto" w:after="20"/>
              <w:jc w:val="center"/>
            </w:pPr>
            <w:r>
              <w:rPr>
                <w:sz w:val="16"/>
              </w:rPr>
              <w:t>4</w:t>
            </w:r>
          </w:p>
        </w:tc>
        <w:tc>
          <w:tcPr>
            <w:tcW w:type="dxa" w:w="4320"/>
            <w:vAlign w:val="center"/>
            <w:shd w:fill="F3F7FC"/>
          </w:tcPr>
          <w:p>
            <w:pPr>
              <w:spacing w:line="259" w:lineRule="auto" w:after="20"/>
              <w:jc w:val="center"/>
            </w:pPr>
            <w:r>
              <w:rPr>
                <w:sz w:val="16"/>
              </w:rPr>
              <w:t>采用区间中点和前三名边界邻近值</w:t>
            </w:r>
          </w:p>
        </w:tc>
      </w:tr>
      <w:tr>
        <w:tc>
          <w:tcPr>
            <w:tcW w:type="dxa" w:w="2088"/>
            <w:vAlign w:val="center"/>
            <w:shd w:fill="FFFFFF"/>
          </w:tcPr>
          <w:p>
            <w:pPr>
              <w:spacing w:line="259" w:lineRule="auto" w:after="20"/>
              <w:jc w:val="center"/>
            </w:pPr>
            <w:r>
              <w:rPr>
                <w:sz w:val="16"/>
              </w:rPr>
              <w:t>情景C 位置较靠后</w:t>
            </w:r>
          </w:p>
        </w:tc>
        <w:tc>
          <w:tcPr>
            <w:tcW w:type="dxa" w:w="1728"/>
            <w:vAlign w:val="center"/>
            <w:shd w:fill="FFFFFF"/>
          </w:tcPr>
          <w:p>
            <w:pPr>
              <w:spacing w:line="259" w:lineRule="auto" w:after="20"/>
              <w:jc w:val="center"/>
            </w:pPr>
            <w:r>
              <w:rPr>
                <w:sz w:val="16"/>
              </w:rPr>
              <w:t>3</w:t>
            </w:r>
          </w:p>
        </w:tc>
        <w:tc>
          <w:tcPr>
            <w:tcW w:type="dxa" w:w="1656"/>
            <w:vAlign w:val="center"/>
            <w:shd w:fill="FFFFFF"/>
          </w:tcPr>
          <w:p>
            <w:pPr>
              <w:spacing w:line="259" w:lineRule="auto" w:after="20"/>
              <w:jc w:val="center"/>
            </w:pPr>
            <w:r>
              <w:rPr>
                <w:sz w:val="16"/>
              </w:rPr>
              <w:t>5</w:t>
            </w:r>
          </w:p>
        </w:tc>
        <w:tc>
          <w:tcPr>
            <w:tcW w:type="dxa" w:w="4320"/>
            <w:vAlign w:val="center"/>
            <w:shd w:fill="FFFFFF"/>
          </w:tcPr>
          <w:p>
            <w:pPr>
              <w:spacing w:line="259" w:lineRule="auto" w:after="20"/>
              <w:jc w:val="center"/>
            </w:pPr>
            <w:r>
              <w:rPr>
                <w:sz w:val="16"/>
              </w:rPr>
              <w:t>假定非首位展现整体更靠后</w:t>
            </w:r>
          </w:p>
        </w:tc>
      </w:tr>
    </w:tbl>
    <w:p>
      <w:pPr>
        <w:spacing w:after="0"/>
      </w:pPr>
    </w:p>
    <w:p>
      <w:r>
        <w:t>对16个目标日期中有展现记录的投放单元重新计算后，按展现量加权的平均展位代理值在情景A、基准情景和情景C下分别为3.018、3.462和4.282。代理值的绝对大小随赋值发生变化，这是正常结果；更重要的是，各投放单元展位排序与基准情景的Spearman秩相关系数分别为0.998、1.000和1.000，说明相对排序几乎不变。</w:t>
      </w:r>
    </w:p>
    <w:p>
      <w:r>
        <w:t>因此，关于“哪些日期或投放单元的展位相对靠前”的判断具有较强稳定性，但不应对3.462等绝对数值作过度解释。由于pⱼₜ只用于填写结果表和辅助评价，没有进入目标函数，改变这组展位代表值不会改变关键词选择和投入金额，只会改变result3.xlsx中的“预期展位”报告值。</w:t>
      </w:r>
    </w:p>
    <w:p>
      <w:pPr>
        <w:pStyle w:val="Heading1"/>
      </w:pPr>
      <w:r>
        <w:t>五 模型建立</w:t>
      </w:r>
    </w:p>
    <w:p>
      <w:pPr>
        <w:pStyle w:val="Heading2"/>
      </w:pPr>
      <w:r>
        <w:t>5.1 决策变量</w:t>
      </w:r>
    </w:p>
    <w:p>
      <w:pPr>
        <w:spacing w:before="60" w:after="60"/>
        <w:jc w:val="center"/>
      </w:pPr>
      <w:r>
        <w:drawing>
          <wp:inline xmlns:a="http://schemas.openxmlformats.org/drawingml/2006/main" xmlns:pic="http://schemas.openxmlformats.org/drawingml/2006/picture">
            <wp:extent cx="6126480" cy="463027"/>
            <wp:docPr id="6" name="Picture 6"/>
            <wp:cNvGraphicFramePr>
              <a:graphicFrameLocks noChangeAspect="1"/>
            </wp:cNvGraphicFramePr>
            <a:graphic>
              <a:graphicData uri="http://schemas.openxmlformats.org/drawingml/2006/picture">
                <pic:pic>
                  <pic:nvPicPr>
                    <pic:cNvPr id="0" name="05_vars.png"/>
                    <pic:cNvPicPr/>
                  </pic:nvPicPr>
                  <pic:blipFill>
                    <a:blip r:embed="rId14"/>
                    <a:stretch>
                      <a:fillRect/>
                    </a:stretch>
                  </pic:blipFill>
                  <pic:spPr>
                    <a:xfrm>
                      <a:off x="0" y="0"/>
                      <a:ext cx="6126480" cy="463027"/>
                    </a:xfrm>
                    <a:prstGeom prst="rect"/>
                  </pic:spPr>
                </pic:pic>
              </a:graphicData>
            </a:graphic>
          </wp:inline>
        </w:drawing>
      </w:r>
    </w:p>
    <w:p>
      <w:r>
        <w:t>xᵢⱼₜ=1表示日期t在投放单元j选择关键词i，xᵢⱼₜ=0表示不选择；bᵢⱼₜ表示相应投入金额。</w:t>
      </w:r>
    </w:p>
    <w:p>
      <w:pPr>
        <w:pStyle w:val="Heading2"/>
      </w:pPr>
      <w:r>
        <w:t>5.2 预期效果</w:t>
      </w:r>
    </w:p>
    <w:p>
      <w:pPr>
        <w:spacing w:before="60" w:after="60"/>
        <w:jc w:val="center"/>
      </w:pPr>
      <w:r>
        <w:drawing>
          <wp:inline xmlns:a="http://schemas.openxmlformats.org/drawingml/2006/main" xmlns:pic="http://schemas.openxmlformats.org/drawingml/2006/picture">
            <wp:extent cx="6126480" cy="463027"/>
            <wp:docPr id="7" name="Picture 7"/>
            <wp:cNvGraphicFramePr>
              <a:graphicFrameLocks noChangeAspect="1"/>
            </wp:cNvGraphicFramePr>
            <a:graphic>
              <a:graphicData uri="http://schemas.openxmlformats.org/drawingml/2006/picture">
                <pic:pic>
                  <pic:nvPicPr>
                    <pic:cNvPr id="0" name="06_effects.png"/>
                    <pic:cNvPicPr/>
                  </pic:nvPicPr>
                  <pic:blipFill>
                    <a:blip r:embed="rId15"/>
                    <a:stretch>
                      <a:fillRect/>
                    </a:stretch>
                  </pic:blipFill>
                  <pic:spPr>
                    <a:xfrm>
                      <a:off x="0" y="0"/>
                      <a:ext cx="6126480" cy="463027"/>
                    </a:xfrm>
                    <a:prstGeom prst="rect"/>
                  </pic:spPr>
                </pic:pic>
              </a:graphicData>
            </a:graphic>
          </wp:inline>
        </w:drawing>
      </w:r>
    </w:p>
    <w:p>
      <w:r>
        <w:t>第一式表示：投放单元平均点击效率×关键词相对效率×日期修正系数×投入金额，得到预期点击量。第二式用浏览深度估计预期浏览量；第三式用当日点击注册率估计预期注册量。三项结果分别写入模板中的预期点击量、预期浏览量和预期注册量。</w:t>
      </w:r>
    </w:p>
    <w:p>
      <w:pPr>
        <w:pStyle w:val="Heading2"/>
      </w:pPr>
      <w:r>
        <w:t>5.3 目标函数</w:t>
      </w:r>
    </w:p>
    <w:p>
      <w:r>
        <w:t>为了在给定预算内获得尽可能多的有效转化，以16天全部投放单元和候选关键词的预期注册量之和最大为目标：</w:t>
      </w:r>
    </w:p>
    <w:p>
      <w:pPr>
        <w:spacing w:before="60" w:after="60"/>
        <w:jc w:val="center"/>
      </w:pPr>
      <w:r>
        <w:drawing>
          <wp:inline xmlns:a="http://schemas.openxmlformats.org/drawingml/2006/main" xmlns:pic="http://schemas.openxmlformats.org/drawingml/2006/picture">
            <wp:extent cx="6126480" cy="466483"/>
            <wp:docPr id="8" name="Picture 8"/>
            <wp:cNvGraphicFramePr>
              <a:graphicFrameLocks noChangeAspect="1"/>
            </wp:cNvGraphicFramePr>
            <a:graphic>
              <a:graphicData uri="http://schemas.openxmlformats.org/drawingml/2006/picture">
                <pic:pic>
                  <pic:nvPicPr>
                    <pic:cNvPr id="0" name="07_obj.png"/>
                    <pic:cNvPicPr/>
                  </pic:nvPicPr>
                  <pic:blipFill>
                    <a:blip r:embed="rId16"/>
                    <a:stretch>
                      <a:fillRect/>
                    </a:stretch>
                  </pic:blipFill>
                  <pic:spPr>
                    <a:xfrm>
                      <a:off x="0" y="0"/>
                      <a:ext cx="6126480" cy="466483"/>
                    </a:xfrm>
                    <a:prstGeom prst="rect"/>
                  </pic:spPr>
                </pic:pic>
              </a:graphicData>
            </a:graphic>
          </wp:inline>
        </w:drawing>
      </w:r>
    </w:p>
    <w:p>
      <w:r>
        <w:t>求和顺序可按“关键词—投放单元—日期”理解：先汇总某个投放单元当天所有入选关键词的预期注册量，再汇总所有投放单元，最后汇总16天。Z即整个投放期的预期注册总量。</w:t>
      </w:r>
    </w:p>
    <w:p>
      <w:pPr>
        <w:pStyle w:val="Heading2"/>
      </w:pPr>
      <w:r>
        <w:t>5.4 约束条件</w:t>
      </w:r>
    </w:p>
    <w:p>
      <w:r>
        <w:t>第一，完成但不超过预算。基准求解将目标日期原实际消费作为相应投放单元的预算，因此采用预算等式：</w:t>
      </w:r>
    </w:p>
    <w:p>
      <w:pPr>
        <w:spacing w:before="60" w:after="60"/>
        <w:jc w:val="center"/>
      </w:pPr>
      <w:r>
        <w:drawing>
          <wp:inline xmlns:a="http://schemas.openxmlformats.org/drawingml/2006/main" xmlns:pic="http://schemas.openxmlformats.org/drawingml/2006/picture">
            <wp:extent cx="6126480" cy="466483"/>
            <wp:docPr id="9" name="Picture 9"/>
            <wp:cNvGraphicFramePr>
              <a:graphicFrameLocks noChangeAspect="1"/>
            </wp:cNvGraphicFramePr>
            <a:graphic>
              <a:graphicData uri="http://schemas.openxmlformats.org/drawingml/2006/picture">
                <pic:pic>
                  <pic:nvPicPr>
                    <pic:cNvPr id="0" name="08_budget.png"/>
                    <pic:cNvPicPr/>
                  </pic:nvPicPr>
                  <pic:blipFill>
                    <a:blip r:embed="rId17"/>
                    <a:stretch>
                      <a:fillRect/>
                    </a:stretch>
                  </pic:blipFill>
                  <pic:spPr>
                    <a:xfrm>
                      <a:off x="0" y="0"/>
                      <a:ext cx="6126480" cy="466483"/>
                    </a:xfrm>
                    <a:prstGeom prst="rect"/>
                  </pic:spPr>
                </pic:pic>
              </a:graphicData>
            </a:graphic>
          </wp:inline>
        </w:drawing>
      </w:r>
    </w:p>
    <w:p>
      <w:r>
        <w:t>式中，Bⱼₜ为日期t投放单元j的预算。若实际业务允许少量预算结余，可把等式改为αBⱼₜ≤Σbᵢⱼₜ≤Bⱼₜ。</w:t>
      </w:r>
    </w:p>
    <w:p>
      <w:r>
        <w:t>第二，关键词选择与投入金额必须一致：</w:t>
      </w:r>
    </w:p>
    <w:p>
      <w:pPr>
        <w:spacing w:before="60" w:after="60"/>
        <w:jc w:val="center"/>
      </w:pPr>
      <w:r>
        <w:drawing>
          <wp:inline xmlns:a="http://schemas.openxmlformats.org/drawingml/2006/main" xmlns:pic="http://schemas.openxmlformats.org/drawingml/2006/picture">
            <wp:extent cx="6126480" cy="463027"/>
            <wp:docPr id="10" name="Picture 10"/>
            <wp:cNvGraphicFramePr>
              <a:graphicFrameLocks noChangeAspect="1"/>
            </wp:cNvGraphicFramePr>
            <a:graphic>
              <a:graphicData uri="http://schemas.openxmlformats.org/drawingml/2006/picture">
                <pic:pic>
                  <pic:nvPicPr>
                    <pic:cNvPr id="0" name="09_link.png"/>
                    <pic:cNvPicPr/>
                  </pic:nvPicPr>
                  <pic:blipFill>
                    <a:blip r:embed="rId18"/>
                    <a:stretch>
                      <a:fillRect/>
                    </a:stretch>
                  </pic:blipFill>
                  <pic:spPr>
                    <a:xfrm>
                      <a:off x="0" y="0"/>
                      <a:ext cx="6126480" cy="463027"/>
                    </a:xfrm>
                    <a:prstGeom prst="rect"/>
                  </pic:spPr>
                </pic:pic>
              </a:graphicData>
            </a:graphic>
          </wp:inline>
        </w:drawing>
      </w:r>
    </w:p>
    <w:p>
      <w:r>
        <w:t>式中，mᵢ和Mᵢ为关键词i的最低和最高投入。当xᵢⱼₜ=0时，投入金额被迫为0；当xᵢⱼₜ=1时，投入位于规定区间。基准求解将最高投入限制为历史份额的1.2倍，并且不超过单元预算的30%。</w:t>
      </w:r>
    </w:p>
    <w:p>
      <w:r>
        <w:t>第三，限制潜力词的探索投入：</w:t>
      </w:r>
    </w:p>
    <w:p>
      <w:pPr>
        <w:spacing w:before="60" w:after="60"/>
        <w:jc w:val="center"/>
      </w:pPr>
      <w:r>
        <w:drawing>
          <wp:inline xmlns:a="http://schemas.openxmlformats.org/drawingml/2006/main" xmlns:pic="http://schemas.openxmlformats.org/drawingml/2006/picture">
            <wp:extent cx="6126480" cy="466483"/>
            <wp:docPr id="11" name="Picture 11"/>
            <wp:cNvGraphicFramePr>
              <a:graphicFrameLocks noChangeAspect="1"/>
            </wp:cNvGraphicFramePr>
            <a:graphic>
              <a:graphicData uri="http://schemas.openxmlformats.org/drawingml/2006/picture">
                <pic:pic>
                  <pic:nvPicPr>
                    <pic:cNvPr id="0" name="10_potential.png"/>
                    <pic:cNvPicPr/>
                  </pic:nvPicPr>
                  <pic:blipFill>
                    <a:blip r:embed="rId19"/>
                    <a:stretch>
                      <a:fillRect/>
                    </a:stretch>
                  </pic:blipFill>
                  <pic:spPr>
                    <a:xfrm>
                      <a:off x="0" y="0"/>
                      <a:ext cx="6126480" cy="466483"/>
                    </a:xfrm>
                    <a:prstGeom prst="rect"/>
                  </pic:spPr>
                </pic:pic>
              </a:graphicData>
            </a:graphic>
          </wp:inline>
        </w:drawing>
      </w:r>
    </w:p>
    <w:p>
      <w:r>
        <w:t>式中，P为潜力词集合，β为潜力词最高预算比例，基准值取0.15。该数值属于管理参数，不是行业固定标准，应以0.10和0.20进行敏感性检验。</w:t>
      </w:r>
    </w:p>
    <w:p>
      <w:r>
        <w:t>第四，若同一关键词文本可进入多个投放单元，为避免同日内部竞争，设置互斥约束：</w:t>
      </w:r>
    </w:p>
    <w:p>
      <w:pPr>
        <w:spacing w:before="60" w:after="60"/>
        <w:jc w:val="center"/>
      </w:pPr>
      <w:r>
        <w:drawing>
          <wp:inline xmlns:a="http://schemas.openxmlformats.org/drawingml/2006/main" xmlns:pic="http://schemas.openxmlformats.org/drawingml/2006/picture">
            <wp:extent cx="6126480" cy="463027"/>
            <wp:docPr id="12" name="Picture 12"/>
            <wp:cNvGraphicFramePr>
              <a:graphicFrameLocks noChangeAspect="1"/>
            </wp:cNvGraphicFramePr>
            <a:graphic>
              <a:graphicData uri="http://schemas.openxmlformats.org/drawingml/2006/picture">
                <pic:pic>
                  <pic:nvPicPr>
                    <pic:cNvPr id="0" name="11_duplicate.png"/>
                    <pic:cNvPicPr/>
                  </pic:nvPicPr>
                  <pic:blipFill>
                    <a:blip r:embed="rId20"/>
                    <a:stretch>
                      <a:fillRect/>
                    </a:stretch>
                  </pic:blipFill>
                  <pic:spPr>
                    <a:xfrm>
                      <a:off x="0" y="0"/>
                      <a:ext cx="6126480" cy="463027"/>
                    </a:xfrm>
                    <a:prstGeom prst="rect"/>
                  </pic:spPr>
                </pic:pic>
              </a:graphicData>
            </a:graphic>
          </wp:inline>
        </w:drawing>
      </w:r>
    </w:p>
    <w:p>
      <w:r>
        <w:t>式中，w为关键词文本，W为重复关键词集合，A(w)为关键词w可以关联的投放单元集合。该约束表示同一关键词在同一天最多选择一个投放单元。</w:t>
      </w:r>
    </w:p>
    <w:p>
      <w:pPr>
        <w:pStyle w:val="Heading1"/>
      </w:pPr>
      <w:r>
        <w:t>六 参数设置与求解方法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016"/>
            <w:shd w:fill="173B67"/>
            <w:vAlign w:val="center"/>
          </w:tcPr>
          <w:p>
            <w:pPr>
              <w:jc w:val="center"/>
            </w:pPr>
            <w:r>
              <w:rPr>
                <w:b/>
                <w:color w:val="FFFFFF"/>
                <w:sz w:val="16"/>
              </w:rPr>
              <w:t>参数</w:t>
            </w:r>
          </w:p>
        </w:tc>
        <w:tc>
          <w:tcPr>
            <w:tcW w:type="dxa" w:w="3168"/>
            <w:shd w:fill="173B67"/>
            <w:vAlign w:val="center"/>
          </w:tcPr>
          <w:p>
            <w:pPr>
              <w:jc w:val="center"/>
            </w:pPr>
            <w:r>
              <w:rPr>
                <w:b/>
                <w:color w:val="FFFFFF"/>
                <w:sz w:val="16"/>
              </w:rPr>
              <w:t>基准设置</w:t>
            </w:r>
          </w:p>
        </w:tc>
        <w:tc>
          <w:tcPr>
            <w:tcW w:type="dxa" w:w="4104"/>
            <w:shd w:fill="173B67"/>
            <w:vAlign w:val="center"/>
          </w:tcPr>
          <w:p>
            <w:pPr>
              <w:jc w:val="center"/>
            </w:pPr>
            <w:r>
              <w:rPr>
                <w:b/>
                <w:color w:val="FFFFFF"/>
                <w:sz w:val="16"/>
              </w:rPr>
              <w:t>设置依据</w:t>
            </w:r>
          </w:p>
        </w:tc>
      </w:tr>
      <w:tr>
        <w:tc>
          <w:tcPr>
            <w:tcW w:type="dxa" w:w="2016"/>
            <w:vAlign w:val="center"/>
            <w:shd w:fill="FFFFFF"/>
          </w:tcPr>
          <w:p>
            <w:pPr>
              <w:spacing w:line="259" w:lineRule="auto" w:after="20"/>
              <w:jc w:val="center"/>
            </w:pPr>
            <w:r>
              <w:rPr>
                <w:sz w:val="16"/>
              </w:rPr>
              <w:t>Bⱼₜ</w:t>
            </w:r>
          </w:p>
        </w:tc>
        <w:tc>
          <w:tcPr>
            <w:tcW w:type="dxa" w:w="3168"/>
            <w:vAlign w:val="center"/>
            <w:shd w:fill="FFFFFF"/>
          </w:tcPr>
          <w:p>
            <w:pPr>
              <w:spacing w:line="259" w:lineRule="auto" w:after="20"/>
              <w:jc w:val="center"/>
            </w:pPr>
            <w:r>
              <w:rPr>
                <w:sz w:val="16"/>
              </w:rPr>
              <w:t>目标日原实际消费额</w:t>
            </w:r>
          </w:p>
        </w:tc>
        <w:tc>
          <w:tcPr>
            <w:tcW w:type="dxa" w:w="4104"/>
            <w:vAlign w:val="center"/>
            <w:shd w:fill="FFFFFF"/>
          </w:tcPr>
          <w:p>
            <w:pPr>
              <w:spacing w:line="259" w:lineRule="auto" w:after="20"/>
              <w:jc w:val="center"/>
            </w:pPr>
            <w:r>
              <w:rPr>
                <w:sz w:val="16"/>
              </w:rPr>
              <w:t>题目没有另给预算，用原投入进行同预算比较</w:t>
            </w:r>
          </w:p>
        </w:tc>
      </w:tr>
      <w:tr>
        <w:tc>
          <w:tcPr>
            <w:tcW w:type="dxa" w:w="2016"/>
            <w:vAlign w:val="center"/>
            <w:shd w:fill="F3F7FC"/>
          </w:tcPr>
          <w:p>
            <w:pPr>
              <w:spacing w:line="259" w:lineRule="auto" w:after="20"/>
              <w:jc w:val="center"/>
            </w:pPr>
            <w:r>
              <w:rPr>
                <w:sz w:val="16"/>
              </w:rPr>
              <w:t>β</w:t>
            </w:r>
          </w:p>
        </w:tc>
        <w:tc>
          <w:tcPr>
            <w:tcW w:type="dxa" w:w="3168"/>
            <w:vAlign w:val="center"/>
            <w:shd w:fill="F3F7FC"/>
          </w:tcPr>
          <w:p>
            <w:pPr>
              <w:spacing w:line="259" w:lineRule="auto" w:after="20"/>
              <w:jc w:val="center"/>
            </w:pPr>
            <w:r>
              <w:rPr>
                <w:sz w:val="16"/>
              </w:rPr>
              <w:t>0.15</w:t>
            </w:r>
          </w:p>
        </w:tc>
        <w:tc>
          <w:tcPr>
            <w:tcW w:type="dxa" w:w="4104"/>
            <w:vAlign w:val="center"/>
            <w:shd w:fill="F3F7FC"/>
          </w:tcPr>
          <w:p>
            <w:pPr>
              <w:spacing w:line="259" w:lineRule="auto" w:after="20"/>
              <w:jc w:val="center"/>
            </w:pPr>
            <w:r>
              <w:rPr>
                <w:sz w:val="16"/>
              </w:rPr>
              <w:t>给潜力词保留有限探索资金</w:t>
            </w:r>
          </w:p>
        </w:tc>
      </w:tr>
      <w:tr>
        <w:tc>
          <w:tcPr>
            <w:tcW w:type="dxa" w:w="2016"/>
            <w:vAlign w:val="center"/>
            <w:shd w:fill="FFFFFF"/>
          </w:tcPr>
          <w:p>
            <w:pPr>
              <w:spacing w:line="259" w:lineRule="auto" w:after="20"/>
              <w:jc w:val="center"/>
            </w:pPr>
            <w:r>
              <w:rPr>
                <w:sz w:val="16"/>
              </w:rPr>
              <w:t>Mᵢ</w:t>
            </w:r>
          </w:p>
        </w:tc>
        <w:tc>
          <w:tcPr>
            <w:tcW w:type="dxa" w:w="3168"/>
            <w:vAlign w:val="center"/>
            <w:shd w:fill="FFFFFF"/>
          </w:tcPr>
          <w:p>
            <w:pPr>
              <w:spacing w:line="259" w:lineRule="auto" w:after="20"/>
              <w:jc w:val="center"/>
            </w:pPr>
            <w:r>
              <w:rPr>
                <w:sz w:val="16"/>
              </w:rPr>
              <w:t>历史份额1.2倍且不超过单元预算30%</w:t>
            </w:r>
          </w:p>
        </w:tc>
        <w:tc>
          <w:tcPr>
            <w:tcW w:type="dxa" w:w="4104"/>
            <w:vAlign w:val="center"/>
            <w:shd w:fill="FFFFFF"/>
          </w:tcPr>
          <w:p>
            <w:pPr>
              <w:spacing w:line="259" w:lineRule="auto" w:after="20"/>
              <w:jc w:val="center"/>
            </w:pPr>
            <w:r>
              <w:rPr>
                <w:sz w:val="16"/>
              </w:rPr>
              <w:t>防止资金过度集中于单个关键词</w:t>
            </w:r>
          </w:p>
        </w:tc>
      </w:tr>
      <w:tr>
        <w:tc>
          <w:tcPr>
            <w:tcW w:type="dxa" w:w="2016"/>
            <w:vAlign w:val="center"/>
            <w:shd w:fill="F3F7FC"/>
          </w:tcPr>
          <w:p>
            <w:pPr>
              <w:spacing w:line="259" w:lineRule="auto" w:after="20"/>
              <w:jc w:val="center"/>
            </w:pPr>
            <w:r>
              <w:rPr>
                <w:sz w:val="16"/>
              </w:rPr>
              <w:t>mᵢ</w:t>
            </w:r>
          </w:p>
        </w:tc>
        <w:tc>
          <w:tcPr>
            <w:tcW w:type="dxa" w:w="3168"/>
            <w:vAlign w:val="center"/>
            <w:shd w:fill="F3F7FC"/>
          </w:tcPr>
          <w:p>
            <w:pPr>
              <w:spacing w:line="259" w:lineRule="auto" w:after="20"/>
              <w:jc w:val="center"/>
            </w:pPr>
            <w:r>
              <w:rPr>
                <w:sz w:val="16"/>
              </w:rPr>
              <w:t>0或平台最低可投金额</w:t>
            </w:r>
          </w:p>
        </w:tc>
        <w:tc>
          <w:tcPr>
            <w:tcW w:type="dxa" w:w="4104"/>
            <w:vAlign w:val="center"/>
            <w:shd w:fill="F3F7FC"/>
          </w:tcPr>
          <w:p>
            <w:pPr>
              <w:spacing w:line="259" w:lineRule="auto" w:after="20"/>
              <w:jc w:val="center"/>
            </w:pPr>
            <w:r>
              <w:rPr>
                <w:sz w:val="16"/>
              </w:rPr>
              <w:t>附件未提供最低投放门槛</w:t>
            </w:r>
          </w:p>
        </w:tc>
      </w:tr>
      <w:tr>
        <w:tc>
          <w:tcPr>
            <w:tcW w:type="dxa" w:w="2016"/>
            <w:vAlign w:val="center"/>
            <w:shd w:fill="FFFFFF"/>
          </w:tcPr>
          <w:p>
            <w:pPr>
              <w:spacing w:line="259" w:lineRule="auto" w:after="20"/>
              <w:jc w:val="center"/>
            </w:pPr>
            <w:r>
              <w:rPr>
                <w:sz w:val="16"/>
              </w:rPr>
              <w:t>C₀</w:t>
            </w:r>
          </w:p>
        </w:tc>
        <w:tc>
          <w:tcPr>
            <w:tcW w:type="dxa" w:w="3168"/>
            <w:vAlign w:val="center"/>
            <w:shd w:fill="FFFFFF"/>
          </w:tcPr>
          <w:p>
            <w:pPr>
              <w:spacing w:line="259" w:lineRule="auto" w:after="20"/>
              <w:jc w:val="center"/>
            </w:pPr>
            <w:r>
              <w:rPr>
                <w:sz w:val="16"/>
              </w:rPr>
              <w:t>8.06元</w:t>
            </w:r>
          </w:p>
        </w:tc>
        <w:tc>
          <w:tcPr>
            <w:tcW w:type="dxa" w:w="4104"/>
            <w:vAlign w:val="center"/>
            <w:shd w:fill="FFFFFF"/>
          </w:tcPr>
          <w:p>
            <w:pPr>
              <w:spacing w:line="259" w:lineRule="auto" w:after="20"/>
              <w:jc w:val="center"/>
            </w:pPr>
            <w:r>
              <w:rPr>
                <w:sz w:val="16"/>
              </w:rPr>
              <w:t>取非零关键词消费额中位数，并检验4.03、16.12和50</w:t>
            </w:r>
          </w:p>
        </w:tc>
      </w:tr>
      <w:tr>
        <w:tc>
          <w:tcPr>
            <w:tcW w:type="dxa" w:w="2016"/>
            <w:vAlign w:val="center"/>
            <w:shd w:fill="F3F7FC"/>
          </w:tcPr>
          <w:p>
            <w:pPr>
              <w:spacing w:line="259" w:lineRule="auto" w:after="20"/>
              <w:jc w:val="center"/>
            </w:pPr>
            <w:r>
              <w:rPr>
                <w:sz w:val="16"/>
              </w:rPr>
              <w:t>θₜ、ηᵢⱼ、dᵢ、ρₜ</w:t>
            </w:r>
          </w:p>
        </w:tc>
        <w:tc>
          <w:tcPr>
            <w:tcW w:type="dxa" w:w="3168"/>
            <w:vAlign w:val="center"/>
            <w:shd w:fill="F3F7FC"/>
          </w:tcPr>
          <w:p>
            <w:pPr>
              <w:spacing w:line="259" w:lineRule="auto" w:after="20"/>
              <w:jc w:val="center"/>
            </w:pPr>
            <w:r>
              <w:rPr>
                <w:sz w:val="16"/>
              </w:rPr>
              <w:t>由附件1计算</w:t>
            </w:r>
          </w:p>
        </w:tc>
        <w:tc>
          <w:tcPr>
            <w:tcW w:type="dxa" w:w="4104"/>
            <w:vAlign w:val="center"/>
            <w:shd w:fill="F3F7FC"/>
          </w:tcPr>
          <w:p>
            <w:pPr>
              <w:spacing w:line="259" w:lineRule="auto" w:after="20"/>
              <w:jc w:val="center"/>
            </w:pPr>
            <w:r>
              <w:rPr>
                <w:sz w:val="16"/>
              </w:rPr>
              <w:t>ηᵢⱼ经过平滑和1%—99%缩尾</w:t>
            </w:r>
          </w:p>
        </w:tc>
      </w:tr>
    </w:tbl>
    <w:p>
      <w:pPr>
        <w:spacing w:after="0"/>
      </w:pPr>
    </w:p>
    <w:p>
      <w:r>
        <w:t>求解过程如下：</w:t>
      </w:r>
    </w:p>
    <w:p>
      <w:r>
        <w:rPr>
          <w:b/>
        </w:rPr>
        <w:t xml:space="preserve">1. </w:t>
      </w:r>
      <w:r>
        <w:t>将问题二的黄金词、重点词和潜力词并入候选集，剔除问题词和无效词。</w:t>
      </w:r>
    </w:p>
    <w:p>
      <w:r>
        <w:rPr>
          <w:b/>
        </w:rPr>
        <w:t xml:space="preserve">2. </w:t>
      </w:r>
      <w:r>
        <w:t>按公式（1）至（4）计算日期、关键词、浏览、注册和展位参数。</w:t>
      </w:r>
    </w:p>
    <w:p>
      <w:r>
        <w:rPr>
          <w:b/>
        </w:rPr>
        <w:t xml:space="preserve">3. </w:t>
      </w:r>
      <w:r>
        <w:t>为每个目标日期、投放单元和候选关键词建立xᵢⱼₜ与bᵢⱼₜ。</w:t>
      </w:r>
    </w:p>
    <w:p>
      <w:r>
        <w:rPr>
          <w:b/>
        </w:rPr>
        <w:t xml:space="preserve">4. </w:t>
      </w:r>
      <w:r>
        <w:t>输入目标函数和预算、投入上下限、潜力词比例、关联及互斥约束。</w:t>
      </w:r>
    </w:p>
    <w:p>
      <w:r>
        <w:rPr>
          <w:b/>
        </w:rPr>
        <w:t xml:space="preserve">5. </w:t>
      </w:r>
      <w:r>
        <w:t>使用LINGO、Python或Excel规划求解器求得最优投入金额。</w:t>
      </w:r>
    </w:p>
    <w:p>
      <w:r>
        <w:rPr>
          <w:b/>
        </w:rPr>
        <w:t xml:space="preserve">6. </w:t>
      </w:r>
      <w:r>
        <w:t>保留bᵢⱼₜ&gt;0的记录，计算预期展位、点击量、浏览量和注册量。</w:t>
      </w:r>
    </w:p>
    <w:p>
      <w:r>
        <w:rPr>
          <w:b/>
        </w:rPr>
        <w:t xml:space="preserve">7. </w:t>
      </w:r>
      <w:r>
        <w:t>逐日核验投入总额等于预算，并按模板九列导出。</w:t>
      </w:r>
    </w:p>
    <w:p>
      <w:r>
        <w:br w:type="page"/>
      </w:r>
    </w:p>
    <w:p>
      <w:pPr>
        <w:pStyle w:val="Heading1"/>
      </w:pPr>
      <w:r>
        <w:t>七 模型求解结果</w:t>
      </w:r>
    </w:p>
    <w:p>
      <w:r>
        <w:t>在上述基准参数下，16天预算合计为51,164.93元。2月1日至8日只有2个投放单元存在正消费记录；8月1日至8日每天12个投放单元均有正消费记录。模型按各单元原预算重新配置关键词，结果如下。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49"/>
        <w:gridCol w:w="1249"/>
        <w:gridCol w:w="1249"/>
        <w:gridCol w:w="1249"/>
        <w:gridCol w:w="1249"/>
        <w:gridCol w:w="1249"/>
        <w:gridCol w:w="1249"/>
        <w:gridCol w:w="1249"/>
      </w:tblGrid>
      <w:tr>
        <w:trPr>
          <w:tblHeader w:val="true"/>
        </w:trPr>
        <w:tc>
          <w:tcPr>
            <w:tcW w:type="dxa" w:w="1037"/>
            <w:shd w:fill="173B67"/>
            <w:vAlign w:val="center"/>
          </w:tcPr>
          <w:p>
            <w:pPr>
              <w:jc w:val="center"/>
            </w:pPr>
            <w:r>
              <w:rPr>
                <w:b/>
                <w:color w:val="FFFFFF"/>
                <w:sz w:val="15"/>
              </w:rPr>
              <w:t>日期</w:t>
            </w:r>
          </w:p>
        </w:tc>
        <w:tc>
          <w:tcPr>
            <w:tcW w:type="dxa" w:w="1325"/>
            <w:shd w:fill="173B67"/>
            <w:vAlign w:val="center"/>
          </w:tcPr>
          <w:p>
            <w:pPr>
              <w:jc w:val="center"/>
            </w:pPr>
            <w:r>
              <w:rPr>
                <w:b/>
                <w:color w:val="FFFFFF"/>
                <w:sz w:val="15"/>
              </w:rPr>
              <w:t>投入金额</w:t>
            </w:r>
          </w:p>
        </w:tc>
        <w:tc>
          <w:tcPr>
            <w:tcW w:type="dxa" w:w="893"/>
            <w:shd w:fill="173B67"/>
            <w:vAlign w:val="center"/>
          </w:tcPr>
          <w:p>
            <w:pPr>
              <w:jc w:val="center"/>
            </w:pPr>
            <w:r>
              <w:rPr>
                <w:b/>
                <w:color w:val="FFFFFF"/>
                <w:sz w:val="15"/>
              </w:rPr>
              <w:t>θₜ</w:t>
            </w:r>
          </w:p>
        </w:tc>
        <w:tc>
          <w:tcPr>
            <w:tcW w:type="dxa" w:w="792"/>
            <w:shd w:fill="173B67"/>
            <w:vAlign w:val="center"/>
          </w:tcPr>
          <w:p>
            <w:pPr>
              <w:jc w:val="center"/>
            </w:pPr>
            <w:r>
              <w:rPr>
                <w:b/>
                <w:color w:val="FFFFFF"/>
                <w:sz w:val="15"/>
              </w:rPr>
              <w:t>词数</w:t>
            </w:r>
          </w:p>
        </w:tc>
        <w:tc>
          <w:tcPr>
            <w:tcW w:type="dxa" w:w="1181"/>
            <w:shd w:fill="173B67"/>
            <w:vAlign w:val="center"/>
          </w:tcPr>
          <w:p>
            <w:pPr>
              <w:jc w:val="center"/>
            </w:pPr>
            <w:r>
              <w:rPr>
                <w:b/>
                <w:color w:val="FFFFFF"/>
                <w:sz w:val="15"/>
              </w:rPr>
              <w:t>预期点击</w:t>
            </w:r>
          </w:p>
        </w:tc>
        <w:tc>
          <w:tcPr>
            <w:tcW w:type="dxa" w:w="1267"/>
            <w:shd w:fill="173B67"/>
            <w:vAlign w:val="center"/>
          </w:tcPr>
          <w:p>
            <w:pPr>
              <w:jc w:val="center"/>
            </w:pPr>
            <w:r>
              <w:rPr>
                <w:b/>
                <w:color w:val="FFFFFF"/>
                <w:sz w:val="15"/>
              </w:rPr>
              <w:t>预期浏览</w:t>
            </w:r>
          </w:p>
        </w:tc>
        <w:tc>
          <w:tcPr>
            <w:tcW w:type="dxa" w:w="1181"/>
            <w:shd w:fill="173B67"/>
            <w:vAlign w:val="center"/>
          </w:tcPr>
          <w:p>
            <w:pPr>
              <w:jc w:val="center"/>
            </w:pPr>
            <w:r>
              <w:rPr>
                <w:b/>
                <w:color w:val="FFFFFF"/>
                <w:sz w:val="15"/>
              </w:rPr>
              <w:t>预期注册</w:t>
            </w:r>
          </w:p>
        </w:tc>
        <w:tc>
          <w:tcPr>
            <w:tcW w:type="dxa" w:w="1181"/>
            <w:shd w:fill="173B67"/>
            <w:vAlign w:val="center"/>
          </w:tcPr>
          <w:p>
            <w:pPr>
              <w:jc w:val="center"/>
            </w:pPr>
            <w:r>
              <w:rPr>
                <w:b/>
                <w:color w:val="FFFFFF"/>
                <w:sz w:val="15"/>
              </w:rPr>
              <w:t>估计提升</w:t>
            </w:r>
          </w:p>
        </w:tc>
      </w:tr>
      <w:tr>
        <w:tc>
          <w:tcPr>
            <w:tcW w:type="dxa" w:w="1037"/>
            <w:vAlign w:val="center"/>
            <w:shd w:fill="FFFFFF"/>
          </w:tcPr>
          <w:p>
            <w:pPr>
              <w:spacing w:line="259" w:lineRule="auto" w:after="20"/>
              <w:jc w:val="center"/>
            </w:pPr>
            <w:r>
              <w:rPr>
                <w:sz w:val="15"/>
              </w:rPr>
              <w:t>02-01</w:t>
            </w:r>
          </w:p>
        </w:tc>
        <w:tc>
          <w:tcPr>
            <w:tcW w:type="dxa" w:w="1325"/>
            <w:vAlign w:val="center"/>
            <w:shd w:fill="FFFFFF"/>
          </w:tcPr>
          <w:p>
            <w:pPr>
              <w:spacing w:line="259" w:lineRule="auto" w:after="20"/>
              <w:jc w:val="center"/>
            </w:pPr>
            <w:r>
              <w:rPr>
                <w:sz w:val="15"/>
              </w:rPr>
              <w:t>803.04</w:t>
            </w:r>
          </w:p>
        </w:tc>
        <w:tc>
          <w:tcPr>
            <w:tcW w:type="dxa" w:w="893"/>
            <w:vAlign w:val="center"/>
            <w:shd w:fill="FFFFFF"/>
          </w:tcPr>
          <w:p>
            <w:pPr>
              <w:spacing w:line="259" w:lineRule="auto" w:after="20"/>
              <w:jc w:val="center"/>
            </w:pPr>
            <w:r>
              <w:rPr>
                <w:sz w:val="15"/>
              </w:rPr>
              <w:t>0.666</w:t>
            </w:r>
          </w:p>
        </w:tc>
        <w:tc>
          <w:tcPr>
            <w:tcW w:type="dxa" w:w="792"/>
            <w:vAlign w:val="center"/>
            <w:shd w:fill="FFFFFF"/>
          </w:tcPr>
          <w:p>
            <w:pPr>
              <w:spacing w:line="259" w:lineRule="auto" w:after="20"/>
              <w:jc w:val="center"/>
            </w:pPr>
            <w:r>
              <w:rPr>
                <w:sz w:val="15"/>
              </w:rPr>
              <w:t>31</w:t>
            </w:r>
          </w:p>
        </w:tc>
        <w:tc>
          <w:tcPr>
            <w:tcW w:type="dxa" w:w="1181"/>
            <w:vAlign w:val="center"/>
            <w:shd w:fill="FFFFFF"/>
          </w:tcPr>
          <w:p>
            <w:pPr>
              <w:spacing w:line="259" w:lineRule="auto" w:after="20"/>
              <w:jc w:val="center"/>
            </w:pPr>
            <w:r>
              <w:rPr>
                <w:sz w:val="15"/>
              </w:rPr>
              <w:t>438</w:t>
            </w:r>
          </w:p>
        </w:tc>
        <w:tc>
          <w:tcPr>
            <w:tcW w:type="dxa" w:w="1267"/>
            <w:vAlign w:val="center"/>
            <w:shd w:fill="FFFFFF"/>
          </w:tcPr>
          <w:p>
            <w:pPr>
              <w:spacing w:line="259" w:lineRule="auto" w:after="20"/>
              <w:jc w:val="center"/>
            </w:pPr>
            <w:r>
              <w:rPr>
                <w:sz w:val="15"/>
              </w:rPr>
              <w:t>841</w:t>
            </w:r>
          </w:p>
        </w:tc>
        <w:tc>
          <w:tcPr>
            <w:tcW w:type="dxa" w:w="1181"/>
            <w:vAlign w:val="center"/>
            <w:shd w:fill="FFFFFF"/>
          </w:tcPr>
          <w:p>
            <w:pPr>
              <w:spacing w:line="259" w:lineRule="auto" w:after="20"/>
              <w:jc w:val="center"/>
            </w:pPr>
            <w:r>
              <w:rPr>
                <w:sz w:val="15"/>
              </w:rPr>
              <w:t>60.2</w:t>
            </w:r>
          </w:p>
        </w:tc>
        <w:tc>
          <w:tcPr>
            <w:tcW w:type="dxa" w:w="1181"/>
            <w:vAlign w:val="center"/>
            <w:shd w:fill="FFFFFF"/>
          </w:tcPr>
          <w:p>
            <w:pPr>
              <w:spacing w:line="259" w:lineRule="auto" w:after="20"/>
              <w:jc w:val="center"/>
            </w:pPr>
            <w:r>
              <w:rPr>
                <w:sz w:val="15"/>
              </w:rPr>
              <w:t>40.0%</w:t>
            </w:r>
          </w:p>
        </w:tc>
      </w:tr>
      <w:tr>
        <w:tc>
          <w:tcPr>
            <w:tcW w:type="dxa" w:w="1037"/>
            <w:vAlign w:val="center"/>
            <w:shd w:fill="F3F7FC"/>
          </w:tcPr>
          <w:p>
            <w:pPr>
              <w:spacing w:line="259" w:lineRule="auto" w:after="20"/>
              <w:jc w:val="center"/>
            </w:pPr>
            <w:r>
              <w:rPr>
                <w:sz w:val="15"/>
              </w:rPr>
              <w:t>02-02</w:t>
            </w:r>
          </w:p>
        </w:tc>
        <w:tc>
          <w:tcPr>
            <w:tcW w:type="dxa" w:w="1325"/>
            <w:vAlign w:val="center"/>
            <w:shd w:fill="F3F7FC"/>
          </w:tcPr>
          <w:p>
            <w:pPr>
              <w:spacing w:line="259" w:lineRule="auto" w:after="20"/>
              <w:jc w:val="center"/>
            </w:pPr>
            <w:r>
              <w:rPr>
                <w:sz w:val="15"/>
              </w:rPr>
              <w:t>1,155.04</w:t>
            </w:r>
          </w:p>
        </w:tc>
        <w:tc>
          <w:tcPr>
            <w:tcW w:type="dxa" w:w="893"/>
            <w:vAlign w:val="center"/>
            <w:shd w:fill="F3F7FC"/>
          </w:tcPr>
          <w:p>
            <w:pPr>
              <w:spacing w:line="259" w:lineRule="auto" w:after="20"/>
              <w:jc w:val="center"/>
            </w:pPr>
            <w:r>
              <w:rPr>
                <w:sz w:val="15"/>
              </w:rPr>
              <w:t>0.708</w:t>
            </w:r>
          </w:p>
        </w:tc>
        <w:tc>
          <w:tcPr>
            <w:tcW w:type="dxa" w:w="792"/>
            <w:vAlign w:val="center"/>
            <w:shd w:fill="F3F7FC"/>
          </w:tcPr>
          <w:p>
            <w:pPr>
              <w:spacing w:line="259" w:lineRule="auto" w:after="20"/>
              <w:jc w:val="center"/>
            </w:pPr>
            <w:r>
              <w:rPr>
                <w:sz w:val="15"/>
              </w:rPr>
              <w:t>31</w:t>
            </w:r>
          </w:p>
        </w:tc>
        <w:tc>
          <w:tcPr>
            <w:tcW w:type="dxa" w:w="1181"/>
            <w:vAlign w:val="center"/>
            <w:shd w:fill="F3F7FC"/>
          </w:tcPr>
          <w:p>
            <w:pPr>
              <w:spacing w:line="259" w:lineRule="auto" w:after="20"/>
              <w:jc w:val="center"/>
            </w:pPr>
            <w:r>
              <w:rPr>
                <w:sz w:val="15"/>
              </w:rPr>
              <w:t>663</w:t>
            </w:r>
          </w:p>
        </w:tc>
        <w:tc>
          <w:tcPr>
            <w:tcW w:type="dxa" w:w="1267"/>
            <w:vAlign w:val="center"/>
            <w:shd w:fill="F3F7FC"/>
          </w:tcPr>
          <w:p>
            <w:pPr>
              <w:spacing w:line="259" w:lineRule="auto" w:after="20"/>
              <w:jc w:val="center"/>
            </w:pPr>
            <w:r>
              <w:rPr>
                <w:sz w:val="15"/>
              </w:rPr>
              <w:t>1,279</w:t>
            </w:r>
          </w:p>
        </w:tc>
        <w:tc>
          <w:tcPr>
            <w:tcW w:type="dxa" w:w="1181"/>
            <w:vAlign w:val="center"/>
            <w:shd w:fill="F3F7FC"/>
          </w:tcPr>
          <w:p>
            <w:pPr>
              <w:spacing w:line="259" w:lineRule="auto" w:after="20"/>
              <w:jc w:val="center"/>
            </w:pPr>
            <w:r>
              <w:rPr>
                <w:sz w:val="15"/>
              </w:rPr>
              <w:t>77.5</w:t>
            </w:r>
          </w:p>
        </w:tc>
        <w:tc>
          <w:tcPr>
            <w:tcW w:type="dxa" w:w="1181"/>
            <w:vAlign w:val="center"/>
            <w:shd w:fill="F3F7FC"/>
          </w:tcPr>
          <w:p>
            <w:pPr>
              <w:spacing w:line="259" w:lineRule="auto" w:after="20"/>
              <w:jc w:val="center"/>
            </w:pPr>
            <w:r>
              <w:rPr>
                <w:sz w:val="15"/>
              </w:rPr>
              <w:t>38.5%</w:t>
            </w:r>
          </w:p>
        </w:tc>
      </w:tr>
      <w:tr>
        <w:tc>
          <w:tcPr>
            <w:tcW w:type="dxa" w:w="1037"/>
            <w:vAlign w:val="center"/>
            <w:shd w:fill="FFFFFF"/>
          </w:tcPr>
          <w:p>
            <w:pPr>
              <w:spacing w:line="259" w:lineRule="auto" w:after="20"/>
              <w:jc w:val="center"/>
            </w:pPr>
            <w:r>
              <w:rPr>
                <w:sz w:val="15"/>
              </w:rPr>
              <w:t>02-03</w:t>
            </w:r>
          </w:p>
        </w:tc>
        <w:tc>
          <w:tcPr>
            <w:tcW w:type="dxa" w:w="1325"/>
            <w:vAlign w:val="center"/>
            <w:shd w:fill="FFFFFF"/>
          </w:tcPr>
          <w:p>
            <w:pPr>
              <w:spacing w:line="259" w:lineRule="auto" w:after="20"/>
              <w:jc w:val="center"/>
            </w:pPr>
            <w:r>
              <w:rPr>
                <w:sz w:val="15"/>
              </w:rPr>
              <w:t>1,403.28</w:t>
            </w:r>
          </w:p>
        </w:tc>
        <w:tc>
          <w:tcPr>
            <w:tcW w:type="dxa" w:w="893"/>
            <w:vAlign w:val="center"/>
            <w:shd w:fill="FFFFFF"/>
          </w:tcPr>
          <w:p>
            <w:pPr>
              <w:spacing w:line="259" w:lineRule="auto" w:after="20"/>
              <w:jc w:val="center"/>
            </w:pPr>
            <w:r>
              <w:rPr>
                <w:sz w:val="15"/>
              </w:rPr>
              <w:t>0.713</w:t>
            </w:r>
          </w:p>
        </w:tc>
        <w:tc>
          <w:tcPr>
            <w:tcW w:type="dxa" w:w="792"/>
            <w:vAlign w:val="center"/>
            <w:shd w:fill="FFFFFF"/>
          </w:tcPr>
          <w:p>
            <w:pPr>
              <w:spacing w:line="259" w:lineRule="auto" w:after="20"/>
              <w:jc w:val="center"/>
            </w:pPr>
            <w:r>
              <w:rPr>
                <w:sz w:val="15"/>
              </w:rPr>
              <w:t>31</w:t>
            </w:r>
          </w:p>
        </w:tc>
        <w:tc>
          <w:tcPr>
            <w:tcW w:type="dxa" w:w="1181"/>
            <w:vAlign w:val="center"/>
            <w:shd w:fill="FFFFFF"/>
          </w:tcPr>
          <w:p>
            <w:pPr>
              <w:spacing w:line="259" w:lineRule="auto" w:after="20"/>
              <w:jc w:val="center"/>
            </w:pPr>
            <w:r>
              <w:rPr>
                <w:sz w:val="15"/>
              </w:rPr>
              <w:t>773</w:t>
            </w:r>
          </w:p>
        </w:tc>
        <w:tc>
          <w:tcPr>
            <w:tcW w:type="dxa" w:w="1267"/>
            <w:vAlign w:val="center"/>
            <w:shd w:fill="FFFFFF"/>
          </w:tcPr>
          <w:p>
            <w:pPr>
              <w:spacing w:line="259" w:lineRule="auto" w:after="20"/>
              <w:jc w:val="center"/>
            </w:pPr>
            <w:r>
              <w:rPr>
                <w:sz w:val="15"/>
              </w:rPr>
              <w:t>1,519</w:t>
            </w:r>
          </w:p>
        </w:tc>
        <w:tc>
          <w:tcPr>
            <w:tcW w:type="dxa" w:w="1181"/>
            <w:vAlign w:val="center"/>
            <w:shd w:fill="FFFFFF"/>
          </w:tcPr>
          <w:p>
            <w:pPr>
              <w:spacing w:line="259" w:lineRule="auto" w:after="20"/>
              <w:jc w:val="center"/>
            </w:pPr>
            <w:r>
              <w:rPr>
                <w:sz w:val="15"/>
              </w:rPr>
              <w:t>95.0</w:t>
            </w:r>
          </w:p>
        </w:tc>
        <w:tc>
          <w:tcPr>
            <w:tcW w:type="dxa" w:w="1181"/>
            <w:vAlign w:val="center"/>
            <w:shd w:fill="FFFFFF"/>
          </w:tcPr>
          <w:p>
            <w:pPr>
              <w:spacing w:line="259" w:lineRule="auto" w:after="20"/>
              <w:jc w:val="center"/>
            </w:pPr>
            <w:r>
              <w:rPr>
                <w:sz w:val="15"/>
              </w:rPr>
              <w:t>31.9%</w:t>
            </w:r>
          </w:p>
        </w:tc>
      </w:tr>
      <w:tr>
        <w:tc>
          <w:tcPr>
            <w:tcW w:type="dxa" w:w="1037"/>
            <w:vAlign w:val="center"/>
            <w:shd w:fill="F3F7FC"/>
          </w:tcPr>
          <w:p>
            <w:pPr>
              <w:spacing w:line="259" w:lineRule="auto" w:after="20"/>
              <w:jc w:val="center"/>
            </w:pPr>
            <w:r>
              <w:rPr>
                <w:sz w:val="15"/>
              </w:rPr>
              <w:t>02-04</w:t>
            </w:r>
          </w:p>
        </w:tc>
        <w:tc>
          <w:tcPr>
            <w:tcW w:type="dxa" w:w="1325"/>
            <w:vAlign w:val="center"/>
            <w:shd w:fill="F3F7FC"/>
          </w:tcPr>
          <w:p>
            <w:pPr>
              <w:spacing w:line="259" w:lineRule="auto" w:after="20"/>
              <w:jc w:val="center"/>
            </w:pPr>
            <w:r>
              <w:rPr>
                <w:sz w:val="15"/>
              </w:rPr>
              <w:t>1,806.39</w:t>
            </w:r>
          </w:p>
        </w:tc>
        <w:tc>
          <w:tcPr>
            <w:tcW w:type="dxa" w:w="893"/>
            <w:vAlign w:val="center"/>
            <w:shd w:fill="F3F7FC"/>
          </w:tcPr>
          <w:p>
            <w:pPr>
              <w:spacing w:line="259" w:lineRule="auto" w:after="20"/>
              <w:jc w:val="center"/>
            </w:pPr>
            <w:r>
              <w:rPr>
                <w:sz w:val="15"/>
              </w:rPr>
              <w:t>0.699</w:t>
            </w:r>
          </w:p>
        </w:tc>
        <w:tc>
          <w:tcPr>
            <w:tcW w:type="dxa" w:w="792"/>
            <w:vAlign w:val="center"/>
            <w:shd w:fill="F3F7FC"/>
          </w:tcPr>
          <w:p>
            <w:pPr>
              <w:spacing w:line="259" w:lineRule="auto" w:after="20"/>
              <w:jc w:val="center"/>
            </w:pPr>
            <w:r>
              <w:rPr>
                <w:sz w:val="15"/>
              </w:rPr>
              <w:t>31</w:t>
            </w:r>
          </w:p>
        </w:tc>
        <w:tc>
          <w:tcPr>
            <w:tcW w:type="dxa" w:w="1181"/>
            <w:vAlign w:val="center"/>
            <w:shd w:fill="F3F7FC"/>
          </w:tcPr>
          <w:p>
            <w:pPr>
              <w:spacing w:line="259" w:lineRule="auto" w:after="20"/>
              <w:jc w:val="center"/>
            </w:pPr>
            <w:r>
              <w:rPr>
                <w:sz w:val="15"/>
              </w:rPr>
              <w:t>976</w:t>
            </w:r>
          </w:p>
        </w:tc>
        <w:tc>
          <w:tcPr>
            <w:tcW w:type="dxa" w:w="1267"/>
            <w:vAlign w:val="center"/>
            <w:shd w:fill="F3F7FC"/>
          </w:tcPr>
          <w:p>
            <w:pPr>
              <w:spacing w:line="259" w:lineRule="auto" w:after="20"/>
              <w:jc w:val="center"/>
            </w:pPr>
            <w:r>
              <w:rPr>
                <w:sz w:val="15"/>
              </w:rPr>
              <w:t>1,917</w:t>
            </w:r>
          </w:p>
        </w:tc>
        <w:tc>
          <w:tcPr>
            <w:tcW w:type="dxa" w:w="1181"/>
            <w:vAlign w:val="center"/>
            <w:shd w:fill="F3F7FC"/>
          </w:tcPr>
          <w:p>
            <w:pPr>
              <w:spacing w:line="259" w:lineRule="auto" w:after="20"/>
              <w:jc w:val="center"/>
            </w:pPr>
            <w:r>
              <w:rPr>
                <w:sz w:val="15"/>
              </w:rPr>
              <w:t>121.5</w:t>
            </w:r>
          </w:p>
        </w:tc>
        <w:tc>
          <w:tcPr>
            <w:tcW w:type="dxa" w:w="1181"/>
            <w:vAlign w:val="center"/>
            <w:shd w:fill="F3F7FC"/>
          </w:tcPr>
          <w:p>
            <w:pPr>
              <w:spacing w:line="259" w:lineRule="auto" w:after="20"/>
              <w:jc w:val="center"/>
            </w:pPr>
            <w:r>
              <w:rPr>
                <w:sz w:val="15"/>
              </w:rPr>
              <w:t>32.1%</w:t>
            </w:r>
          </w:p>
        </w:tc>
      </w:tr>
      <w:tr>
        <w:tc>
          <w:tcPr>
            <w:tcW w:type="dxa" w:w="1037"/>
            <w:vAlign w:val="center"/>
            <w:shd w:fill="FFFFFF"/>
          </w:tcPr>
          <w:p>
            <w:pPr>
              <w:spacing w:line="259" w:lineRule="auto" w:after="20"/>
              <w:jc w:val="center"/>
            </w:pPr>
            <w:r>
              <w:rPr>
                <w:sz w:val="15"/>
              </w:rPr>
              <w:t>02-05</w:t>
            </w:r>
          </w:p>
        </w:tc>
        <w:tc>
          <w:tcPr>
            <w:tcW w:type="dxa" w:w="1325"/>
            <w:vAlign w:val="center"/>
            <w:shd w:fill="FFFFFF"/>
          </w:tcPr>
          <w:p>
            <w:pPr>
              <w:spacing w:line="259" w:lineRule="auto" w:after="20"/>
              <w:jc w:val="center"/>
            </w:pPr>
            <w:r>
              <w:rPr>
                <w:sz w:val="15"/>
              </w:rPr>
              <w:t>2,007.82</w:t>
            </w:r>
          </w:p>
        </w:tc>
        <w:tc>
          <w:tcPr>
            <w:tcW w:type="dxa" w:w="893"/>
            <w:vAlign w:val="center"/>
            <w:shd w:fill="FFFFFF"/>
          </w:tcPr>
          <w:p>
            <w:pPr>
              <w:spacing w:line="259" w:lineRule="auto" w:after="20"/>
              <w:jc w:val="center"/>
            </w:pPr>
            <w:r>
              <w:rPr>
                <w:sz w:val="15"/>
              </w:rPr>
              <w:t>0.710</w:t>
            </w:r>
          </w:p>
        </w:tc>
        <w:tc>
          <w:tcPr>
            <w:tcW w:type="dxa" w:w="792"/>
            <w:vAlign w:val="center"/>
            <w:shd w:fill="FFFFFF"/>
          </w:tcPr>
          <w:p>
            <w:pPr>
              <w:spacing w:line="259" w:lineRule="auto" w:after="20"/>
              <w:jc w:val="center"/>
            </w:pPr>
            <w:r>
              <w:rPr>
                <w:sz w:val="15"/>
              </w:rPr>
              <w:t>31</w:t>
            </w:r>
          </w:p>
        </w:tc>
        <w:tc>
          <w:tcPr>
            <w:tcW w:type="dxa" w:w="1181"/>
            <w:vAlign w:val="center"/>
            <w:shd w:fill="FFFFFF"/>
          </w:tcPr>
          <w:p>
            <w:pPr>
              <w:spacing w:line="259" w:lineRule="auto" w:after="20"/>
              <w:jc w:val="center"/>
            </w:pPr>
            <w:r>
              <w:rPr>
                <w:sz w:val="15"/>
              </w:rPr>
              <w:t>1,107</w:t>
            </w:r>
          </w:p>
        </w:tc>
        <w:tc>
          <w:tcPr>
            <w:tcW w:type="dxa" w:w="1267"/>
            <w:vAlign w:val="center"/>
            <w:shd w:fill="FFFFFF"/>
          </w:tcPr>
          <w:p>
            <w:pPr>
              <w:spacing w:line="259" w:lineRule="auto" w:after="20"/>
              <w:jc w:val="center"/>
            </w:pPr>
            <w:r>
              <w:rPr>
                <w:sz w:val="15"/>
              </w:rPr>
              <w:t>2,169</w:t>
            </w:r>
          </w:p>
        </w:tc>
        <w:tc>
          <w:tcPr>
            <w:tcW w:type="dxa" w:w="1181"/>
            <w:vAlign w:val="center"/>
            <w:shd w:fill="FFFFFF"/>
          </w:tcPr>
          <w:p>
            <w:pPr>
              <w:spacing w:line="259" w:lineRule="auto" w:after="20"/>
              <w:jc w:val="center"/>
            </w:pPr>
            <w:r>
              <w:rPr>
                <w:sz w:val="15"/>
              </w:rPr>
              <w:t>165.9</w:t>
            </w:r>
          </w:p>
        </w:tc>
        <w:tc>
          <w:tcPr>
            <w:tcW w:type="dxa" w:w="1181"/>
            <w:vAlign w:val="center"/>
            <w:shd w:fill="FFFFFF"/>
          </w:tcPr>
          <w:p>
            <w:pPr>
              <w:spacing w:line="259" w:lineRule="auto" w:after="20"/>
              <w:jc w:val="center"/>
            </w:pPr>
            <w:r>
              <w:rPr>
                <w:sz w:val="15"/>
              </w:rPr>
              <w:t>32.7%</w:t>
            </w:r>
          </w:p>
        </w:tc>
      </w:tr>
      <w:tr>
        <w:tc>
          <w:tcPr>
            <w:tcW w:type="dxa" w:w="1037"/>
            <w:vAlign w:val="center"/>
            <w:shd w:fill="F3F7FC"/>
          </w:tcPr>
          <w:p>
            <w:pPr>
              <w:spacing w:line="259" w:lineRule="auto" w:after="20"/>
              <w:jc w:val="center"/>
            </w:pPr>
            <w:r>
              <w:rPr>
                <w:sz w:val="15"/>
              </w:rPr>
              <w:t>02-06</w:t>
            </w:r>
          </w:p>
        </w:tc>
        <w:tc>
          <w:tcPr>
            <w:tcW w:type="dxa" w:w="1325"/>
            <w:vAlign w:val="center"/>
            <w:shd w:fill="F3F7FC"/>
          </w:tcPr>
          <w:p>
            <w:pPr>
              <w:spacing w:line="259" w:lineRule="auto" w:after="20"/>
              <w:jc w:val="center"/>
            </w:pPr>
            <w:r>
              <w:rPr>
                <w:sz w:val="15"/>
              </w:rPr>
              <w:t>2,043.97</w:t>
            </w:r>
          </w:p>
        </w:tc>
        <w:tc>
          <w:tcPr>
            <w:tcW w:type="dxa" w:w="893"/>
            <w:vAlign w:val="center"/>
            <w:shd w:fill="F3F7FC"/>
          </w:tcPr>
          <w:p>
            <w:pPr>
              <w:spacing w:line="259" w:lineRule="auto" w:after="20"/>
              <w:jc w:val="center"/>
            </w:pPr>
            <w:r>
              <w:rPr>
                <w:sz w:val="15"/>
              </w:rPr>
              <w:t>0.656</w:t>
            </w:r>
          </w:p>
        </w:tc>
        <w:tc>
          <w:tcPr>
            <w:tcW w:type="dxa" w:w="792"/>
            <w:vAlign w:val="center"/>
            <w:shd w:fill="F3F7FC"/>
          </w:tcPr>
          <w:p>
            <w:pPr>
              <w:spacing w:line="259" w:lineRule="auto" w:after="20"/>
              <w:jc w:val="center"/>
            </w:pPr>
            <w:r>
              <w:rPr>
                <w:sz w:val="15"/>
              </w:rPr>
              <w:t>31</w:t>
            </w:r>
          </w:p>
        </w:tc>
        <w:tc>
          <w:tcPr>
            <w:tcW w:type="dxa" w:w="1181"/>
            <w:vAlign w:val="center"/>
            <w:shd w:fill="F3F7FC"/>
          </w:tcPr>
          <w:p>
            <w:pPr>
              <w:spacing w:line="259" w:lineRule="auto" w:after="20"/>
              <w:jc w:val="center"/>
            </w:pPr>
            <w:r>
              <w:rPr>
                <w:sz w:val="15"/>
              </w:rPr>
              <w:t>1,037</w:t>
            </w:r>
          </w:p>
        </w:tc>
        <w:tc>
          <w:tcPr>
            <w:tcW w:type="dxa" w:w="1267"/>
            <w:vAlign w:val="center"/>
            <w:shd w:fill="F3F7FC"/>
          </w:tcPr>
          <w:p>
            <w:pPr>
              <w:spacing w:line="259" w:lineRule="auto" w:after="20"/>
              <w:jc w:val="center"/>
            </w:pPr>
            <w:r>
              <w:rPr>
                <w:sz w:val="15"/>
              </w:rPr>
              <w:t>2,037</w:t>
            </w:r>
          </w:p>
        </w:tc>
        <w:tc>
          <w:tcPr>
            <w:tcW w:type="dxa" w:w="1181"/>
            <w:vAlign w:val="center"/>
            <w:shd w:fill="F3F7FC"/>
          </w:tcPr>
          <w:p>
            <w:pPr>
              <w:spacing w:line="259" w:lineRule="auto" w:after="20"/>
              <w:jc w:val="center"/>
            </w:pPr>
            <w:r>
              <w:rPr>
                <w:sz w:val="15"/>
              </w:rPr>
              <w:t>145.4</w:t>
            </w:r>
          </w:p>
        </w:tc>
        <w:tc>
          <w:tcPr>
            <w:tcW w:type="dxa" w:w="1181"/>
            <w:vAlign w:val="center"/>
            <w:shd w:fill="F3F7FC"/>
          </w:tcPr>
          <w:p>
            <w:pPr>
              <w:spacing w:line="259" w:lineRule="auto" w:after="20"/>
              <w:jc w:val="center"/>
            </w:pPr>
            <w:r>
              <w:rPr>
                <w:sz w:val="15"/>
              </w:rPr>
              <w:t>32.2%</w:t>
            </w:r>
          </w:p>
        </w:tc>
      </w:tr>
      <w:tr>
        <w:tc>
          <w:tcPr>
            <w:tcW w:type="dxa" w:w="1037"/>
            <w:vAlign w:val="center"/>
            <w:shd w:fill="FFFFFF"/>
          </w:tcPr>
          <w:p>
            <w:pPr>
              <w:spacing w:line="259" w:lineRule="auto" w:after="20"/>
              <w:jc w:val="center"/>
            </w:pPr>
            <w:r>
              <w:rPr>
                <w:sz w:val="15"/>
              </w:rPr>
              <w:t>02-07</w:t>
            </w:r>
          </w:p>
        </w:tc>
        <w:tc>
          <w:tcPr>
            <w:tcW w:type="dxa" w:w="1325"/>
            <w:vAlign w:val="center"/>
            <w:shd w:fill="FFFFFF"/>
          </w:tcPr>
          <w:p>
            <w:pPr>
              <w:spacing w:line="259" w:lineRule="auto" w:after="20"/>
              <w:jc w:val="center"/>
            </w:pPr>
            <w:r>
              <w:rPr>
                <w:sz w:val="15"/>
              </w:rPr>
              <w:t>2,523.34</w:t>
            </w:r>
          </w:p>
        </w:tc>
        <w:tc>
          <w:tcPr>
            <w:tcW w:type="dxa" w:w="893"/>
            <w:vAlign w:val="center"/>
            <w:shd w:fill="FFFFFF"/>
          </w:tcPr>
          <w:p>
            <w:pPr>
              <w:spacing w:line="259" w:lineRule="auto" w:after="20"/>
              <w:jc w:val="center"/>
            </w:pPr>
            <w:r>
              <w:rPr>
                <w:sz w:val="15"/>
              </w:rPr>
              <w:t>0.676</w:t>
            </w:r>
          </w:p>
        </w:tc>
        <w:tc>
          <w:tcPr>
            <w:tcW w:type="dxa" w:w="792"/>
            <w:vAlign w:val="center"/>
            <w:shd w:fill="FFFFFF"/>
          </w:tcPr>
          <w:p>
            <w:pPr>
              <w:spacing w:line="259" w:lineRule="auto" w:after="20"/>
              <w:jc w:val="center"/>
            </w:pPr>
            <w:r>
              <w:rPr>
                <w:sz w:val="15"/>
              </w:rPr>
              <w:t>31</w:t>
            </w:r>
          </w:p>
        </w:tc>
        <w:tc>
          <w:tcPr>
            <w:tcW w:type="dxa" w:w="1181"/>
            <w:vAlign w:val="center"/>
            <w:shd w:fill="FFFFFF"/>
          </w:tcPr>
          <w:p>
            <w:pPr>
              <w:spacing w:line="259" w:lineRule="auto" w:after="20"/>
              <w:jc w:val="center"/>
            </w:pPr>
            <w:r>
              <w:rPr>
                <w:sz w:val="15"/>
              </w:rPr>
              <w:t>1,369</w:t>
            </w:r>
          </w:p>
        </w:tc>
        <w:tc>
          <w:tcPr>
            <w:tcW w:type="dxa" w:w="1267"/>
            <w:vAlign w:val="center"/>
            <w:shd w:fill="FFFFFF"/>
          </w:tcPr>
          <w:p>
            <w:pPr>
              <w:spacing w:line="259" w:lineRule="auto" w:after="20"/>
              <w:jc w:val="center"/>
            </w:pPr>
            <w:r>
              <w:rPr>
                <w:sz w:val="15"/>
              </w:rPr>
              <w:t>2,649</w:t>
            </w:r>
          </w:p>
        </w:tc>
        <w:tc>
          <w:tcPr>
            <w:tcW w:type="dxa" w:w="1181"/>
            <w:vAlign w:val="center"/>
            <w:shd w:fill="FFFFFF"/>
          </w:tcPr>
          <w:p>
            <w:pPr>
              <w:spacing w:line="259" w:lineRule="auto" w:after="20"/>
              <w:jc w:val="center"/>
            </w:pPr>
            <w:r>
              <w:rPr>
                <w:sz w:val="15"/>
              </w:rPr>
              <w:t>153.7</w:t>
            </w:r>
          </w:p>
        </w:tc>
        <w:tc>
          <w:tcPr>
            <w:tcW w:type="dxa" w:w="1181"/>
            <w:vAlign w:val="center"/>
            <w:shd w:fill="FFFFFF"/>
          </w:tcPr>
          <w:p>
            <w:pPr>
              <w:spacing w:line="259" w:lineRule="auto" w:after="20"/>
              <w:jc w:val="center"/>
            </w:pPr>
            <w:r>
              <w:rPr>
                <w:sz w:val="15"/>
              </w:rPr>
              <w:t>37.2%</w:t>
            </w:r>
          </w:p>
        </w:tc>
      </w:tr>
      <w:tr>
        <w:tc>
          <w:tcPr>
            <w:tcW w:type="dxa" w:w="1037"/>
            <w:vAlign w:val="center"/>
            <w:shd w:fill="F3F7FC"/>
          </w:tcPr>
          <w:p>
            <w:pPr>
              <w:spacing w:line="259" w:lineRule="auto" w:after="20"/>
              <w:jc w:val="center"/>
            </w:pPr>
            <w:r>
              <w:rPr>
                <w:sz w:val="15"/>
              </w:rPr>
              <w:t>02-08</w:t>
            </w:r>
          </w:p>
        </w:tc>
        <w:tc>
          <w:tcPr>
            <w:tcW w:type="dxa" w:w="1325"/>
            <w:vAlign w:val="center"/>
            <w:shd w:fill="F3F7FC"/>
          </w:tcPr>
          <w:p>
            <w:pPr>
              <w:spacing w:line="259" w:lineRule="auto" w:after="20"/>
              <w:jc w:val="center"/>
            </w:pPr>
            <w:r>
              <w:rPr>
                <w:sz w:val="15"/>
              </w:rPr>
              <w:t>1,938.27</w:t>
            </w:r>
          </w:p>
        </w:tc>
        <w:tc>
          <w:tcPr>
            <w:tcW w:type="dxa" w:w="893"/>
            <w:vAlign w:val="center"/>
            <w:shd w:fill="F3F7FC"/>
          </w:tcPr>
          <w:p>
            <w:pPr>
              <w:spacing w:line="259" w:lineRule="auto" w:after="20"/>
              <w:jc w:val="center"/>
            </w:pPr>
            <w:r>
              <w:rPr>
                <w:sz w:val="15"/>
              </w:rPr>
              <w:t>0.812</w:t>
            </w:r>
          </w:p>
        </w:tc>
        <w:tc>
          <w:tcPr>
            <w:tcW w:type="dxa" w:w="792"/>
            <w:vAlign w:val="center"/>
            <w:shd w:fill="F3F7FC"/>
          </w:tcPr>
          <w:p>
            <w:pPr>
              <w:spacing w:line="259" w:lineRule="auto" w:after="20"/>
              <w:jc w:val="center"/>
            </w:pPr>
            <w:r>
              <w:rPr>
                <w:sz w:val="15"/>
              </w:rPr>
              <w:t>31</w:t>
            </w:r>
          </w:p>
        </w:tc>
        <w:tc>
          <w:tcPr>
            <w:tcW w:type="dxa" w:w="1181"/>
            <w:vAlign w:val="center"/>
            <w:shd w:fill="F3F7FC"/>
          </w:tcPr>
          <w:p>
            <w:pPr>
              <w:spacing w:line="259" w:lineRule="auto" w:after="20"/>
              <w:jc w:val="center"/>
            </w:pPr>
            <w:r>
              <w:rPr>
                <w:sz w:val="15"/>
              </w:rPr>
              <w:t>1,299</w:t>
            </w:r>
          </w:p>
        </w:tc>
        <w:tc>
          <w:tcPr>
            <w:tcW w:type="dxa" w:w="1267"/>
            <w:vAlign w:val="center"/>
            <w:shd w:fill="F3F7FC"/>
          </w:tcPr>
          <w:p>
            <w:pPr>
              <w:spacing w:line="259" w:lineRule="auto" w:after="20"/>
              <w:jc w:val="center"/>
            </w:pPr>
            <w:r>
              <w:rPr>
                <w:sz w:val="15"/>
              </w:rPr>
              <w:t>2,488</w:t>
            </w:r>
          </w:p>
        </w:tc>
        <w:tc>
          <w:tcPr>
            <w:tcW w:type="dxa" w:w="1181"/>
            <w:vAlign w:val="center"/>
            <w:shd w:fill="F3F7FC"/>
          </w:tcPr>
          <w:p>
            <w:pPr>
              <w:spacing w:line="259" w:lineRule="auto" w:after="20"/>
              <w:jc w:val="center"/>
            </w:pPr>
            <w:r>
              <w:rPr>
                <w:sz w:val="15"/>
              </w:rPr>
              <w:t>170.7</w:t>
            </w:r>
          </w:p>
        </w:tc>
        <w:tc>
          <w:tcPr>
            <w:tcW w:type="dxa" w:w="1181"/>
            <w:vAlign w:val="center"/>
            <w:shd w:fill="F3F7FC"/>
          </w:tcPr>
          <w:p>
            <w:pPr>
              <w:spacing w:line="259" w:lineRule="auto" w:after="20"/>
              <w:jc w:val="center"/>
            </w:pPr>
            <w:r>
              <w:rPr>
                <w:sz w:val="15"/>
              </w:rPr>
              <w:t>41.1%</w:t>
            </w:r>
          </w:p>
        </w:tc>
      </w:tr>
      <w:tr>
        <w:tc>
          <w:tcPr>
            <w:tcW w:type="dxa" w:w="1037"/>
            <w:vAlign w:val="center"/>
            <w:shd w:fill="FFFFFF"/>
          </w:tcPr>
          <w:p>
            <w:pPr>
              <w:spacing w:line="259" w:lineRule="auto" w:after="20"/>
              <w:jc w:val="center"/>
            </w:pPr>
            <w:r>
              <w:rPr>
                <w:sz w:val="15"/>
              </w:rPr>
              <w:t>08-01</w:t>
            </w:r>
          </w:p>
        </w:tc>
        <w:tc>
          <w:tcPr>
            <w:tcW w:type="dxa" w:w="1325"/>
            <w:vAlign w:val="center"/>
            <w:shd w:fill="FFFFFF"/>
          </w:tcPr>
          <w:p>
            <w:pPr>
              <w:spacing w:line="259" w:lineRule="auto" w:after="20"/>
              <w:jc w:val="center"/>
            </w:pPr>
            <w:r>
              <w:rPr>
                <w:sz w:val="15"/>
              </w:rPr>
              <w:t>5,722.87</w:t>
            </w:r>
          </w:p>
        </w:tc>
        <w:tc>
          <w:tcPr>
            <w:tcW w:type="dxa" w:w="893"/>
            <w:vAlign w:val="center"/>
            <w:shd w:fill="FFFFFF"/>
          </w:tcPr>
          <w:p>
            <w:pPr>
              <w:spacing w:line="259" w:lineRule="auto" w:after="20"/>
              <w:jc w:val="center"/>
            </w:pPr>
            <w:r>
              <w:rPr>
                <w:sz w:val="15"/>
              </w:rPr>
              <w:t>2.072</w:t>
            </w:r>
          </w:p>
        </w:tc>
        <w:tc>
          <w:tcPr>
            <w:tcW w:type="dxa" w:w="792"/>
            <w:vAlign w:val="center"/>
            <w:shd w:fill="FFFFFF"/>
          </w:tcPr>
          <w:p>
            <w:pPr>
              <w:spacing w:line="259" w:lineRule="auto" w:after="20"/>
              <w:jc w:val="center"/>
            </w:pPr>
            <w:r>
              <w:rPr>
                <w:sz w:val="15"/>
              </w:rPr>
              <w:t>109</w:t>
            </w:r>
          </w:p>
        </w:tc>
        <w:tc>
          <w:tcPr>
            <w:tcW w:type="dxa" w:w="1181"/>
            <w:vAlign w:val="center"/>
            <w:shd w:fill="FFFFFF"/>
          </w:tcPr>
          <w:p>
            <w:pPr>
              <w:spacing w:line="259" w:lineRule="auto" w:after="20"/>
              <w:jc w:val="center"/>
            </w:pPr>
            <w:r>
              <w:rPr>
                <w:sz w:val="15"/>
              </w:rPr>
              <w:t>10,242</w:t>
            </w:r>
          </w:p>
        </w:tc>
        <w:tc>
          <w:tcPr>
            <w:tcW w:type="dxa" w:w="1267"/>
            <w:vAlign w:val="center"/>
            <w:shd w:fill="FFFFFF"/>
          </w:tcPr>
          <w:p>
            <w:pPr>
              <w:spacing w:line="259" w:lineRule="auto" w:after="20"/>
              <w:jc w:val="center"/>
            </w:pPr>
            <w:r>
              <w:rPr>
                <w:sz w:val="15"/>
              </w:rPr>
              <w:t>30,705</w:t>
            </w:r>
          </w:p>
        </w:tc>
        <w:tc>
          <w:tcPr>
            <w:tcW w:type="dxa" w:w="1181"/>
            <w:vAlign w:val="center"/>
            <w:shd w:fill="FFFFFF"/>
          </w:tcPr>
          <w:p>
            <w:pPr>
              <w:spacing w:line="259" w:lineRule="auto" w:after="20"/>
              <w:jc w:val="center"/>
            </w:pPr>
            <w:r>
              <w:rPr>
                <w:sz w:val="15"/>
              </w:rPr>
              <w:t>506.0</w:t>
            </w:r>
          </w:p>
        </w:tc>
        <w:tc>
          <w:tcPr>
            <w:tcW w:type="dxa" w:w="1181"/>
            <w:vAlign w:val="center"/>
            <w:shd w:fill="FFFFFF"/>
          </w:tcPr>
          <w:p>
            <w:pPr>
              <w:spacing w:line="259" w:lineRule="auto" w:after="20"/>
              <w:jc w:val="center"/>
            </w:pPr>
            <w:r>
              <w:rPr>
                <w:sz w:val="15"/>
              </w:rPr>
              <w:t>47.5%</w:t>
            </w:r>
          </w:p>
        </w:tc>
      </w:tr>
      <w:tr>
        <w:tc>
          <w:tcPr>
            <w:tcW w:type="dxa" w:w="1037"/>
            <w:vAlign w:val="center"/>
            <w:shd w:fill="F3F7FC"/>
          </w:tcPr>
          <w:p>
            <w:pPr>
              <w:spacing w:line="259" w:lineRule="auto" w:after="20"/>
              <w:jc w:val="center"/>
            </w:pPr>
            <w:r>
              <w:rPr>
                <w:sz w:val="15"/>
              </w:rPr>
              <w:t>08-02</w:t>
            </w:r>
          </w:p>
        </w:tc>
        <w:tc>
          <w:tcPr>
            <w:tcW w:type="dxa" w:w="1325"/>
            <w:vAlign w:val="center"/>
            <w:shd w:fill="F3F7FC"/>
          </w:tcPr>
          <w:p>
            <w:pPr>
              <w:spacing w:line="259" w:lineRule="auto" w:after="20"/>
              <w:jc w:val="center"/>
            </w:pPr>
            <w:r>
              <w:rPr>
                <w:sz w:val="15"/>
              </w:rPr>
              <w:t>5,515.84</w:t>
            </w:r>
          </w:p>
        </w:tc>
        <w:tc>
          <w:tcPr>
            <w:tcW w:type="dxa" w:w="893"/>
            <w:vAlign w:val="center"/>
            <w:shd w:fill="F3F7FC"/>
          </w:tcPr>
          <w:p>
            <w:pPr>
              <w:spacing w:line="259" w:lineRule="auto" w:after="20"/>
              <w:jc w:val="center"/>
            </w:pPr>
            <w:r>
              <w:rPr>
                <w:sz w:val="15"/>
              </w:rPr>
              <w:t>2.007</w:t>
            </w:r>
          </w:p>
        </w:tc>
        <w:tc>
          <w:tcPr>
            <w:tcW w:type="dxa" w:w="792"/>
            <w:vAlign w:val="center"/>
            <w:shd w:fill="F3F7FC"/>
          </w:tcPr>
          <w:p>
            <w:pPr>
              <w:spacing w:line="259" w:lineRule="auto" w:after="20"/>
              <w:jc w:val="center"/>
            </w:pPr>
            <w:r>
              <w:rPr>
                <w:sz w:val="15"/>
              </w:rPr>
              <w:t>110</w:t>
            </w:r>
          </w:p>
        </w:tc>
        <w:tc>
          <w:tcPr>
            <w:tcW w:type="dxa" w:w="1181"/>
            <w:vAlign w:val="center"/>
            <w:shd w:fill="F3F7FC"/>
          </w:tcPr>
          <w:p>
            <w:pPr>
              <w:spacing w:line="259" w:lineRule="auto" w:after="20"/>
              <w:jc w:val="center"/>
            </w:pPr>
            <w:r>
              <w:rPr>
                <w:sz w:val="15"/>
              </w:rPr>
              <w:t>9,521</w:t>
            </w:r>
          </w:p>
        </w:tc>
        <w:tc>
          <w:tcPr>
            <w:tcW w:type="dxa" w:w="1267"/>
            <w:vAlign w:val="center"/>
            <w:shd w:fill="F3F7FC"/>
          </w:tcPr>
          <w:p>
            <w:pPr>
              <w:spacing w:line="259" w:lineRule="auto" w:after="20"/>
              <w:jc w:val="center"/>
            </w:pPr>
            <w:r>
              <w:rPr>
                <w:sz w:val="15"/>
              </w:rPr>
              <w:t>28,764</w:t>
            </w:r>
          </w:p>
        </w:tc>
        <w:tc>
          <w:tcPr>
            <w:tcW w:type="dxa" w:w="1181"/>
            <w:vAlign w:val="center"/>
            <w:shd w:fill="F3F7FC"/>
          </w:tcPr>
          <w:p>
            <w:pPr>
              <w:spacing w:line="259" w:lineRule="auto" w:after="20"/>
              <w:jc w:val="center"/>
            </w:pPr>
            <w:r>
              <w:rPr>
                <w:sz w:val="15"/>
              </w:rPr>
              <w:t>462.8</w:t>
            </w:r>
          </w:p>
        </w:tc>
        <w:tc>
          <w:tcPr>
            <w:tcW w:type="dxa" w:w="1181"/>
            <w:vAlign w:val="center"/>
            <w:shd w:fill="F3F7FC"/>
          </w:tcPr>
          <w:p>
            <w:pPr>
              <w:spacing w:line="259" w:lineRule="auto" w:after="20"/>
              <w:jc w:val="center"/>
            </w:pPr>
            <w:r>
              <w:rPr>
                <w:sz w:val="15"/>
              </w:rPr>
              <w:t>46.9%</w:t>
            </w:r>
          </w:p>
        </w:tc>
      </w:tr>
      <w:tr>
        <w:tc>
          <w:tcPr>
            <w:tcW w:type="dxa" w:w="1037"/>
            <w:vAlign w:val="center"/>
            <w:shd w:fill="FFFFFF"/>
          </w:tcPr>
          <w:p>
            <w:pPr>
              <w:spacing w:line="259" w:lineRule="auto" w:after="20"/>
              <w:jc w:val="center"/>
            </w:pPr>
            <w:r>
              <w:rPr>
                <w:sz w:val="15"/>
              </w:rPr>
              <w:t>08-03</w:t>
            </w:r>
          </w:p>
        </w:tc>
        <w:tc>
          <w:tcPr>
            <w:tcW w:type="dxa" w:w="1325"/>
            <w:vAlign w:val="center"/>
            <w:shd w:fill="FFFFFF"/>
          </w:tcPr>
          <w:p>
            <w:pPr>
              <w:spacing w:line="259" w:lineRule="auto" w:after="20"/>
              <w:jc w:val="center"/>
            </w:pPr>
            <w:r>
              <w:rPr>
                <w:sz w:val="15"/>
              </w:rPr>
              <w:t>2,422.25</w:t>
            </w:r>
          </w:p>
        </w:tc>
        <w:tc>
          <w:tcPr>
            <w:tcW w:type="dxa" w:w="893"/>
            <w:vAlign w:val="center"/>
            <w:shd w:fill="FFFFFF"/>
          </w:tcPr>
          <w:p>
            <w:pPr>
              <w:spacing w:line="259" w:lineRule="auto" w:after="20"/>
              <w:jc w:val="center"/>
            </w:pPr>
            <w:r>
              <w:rPr>
                <w:sz w:val="15"/>
              </w:rPr>
              <w:t>1.412</w:t>
            </w:r>
          </w:p>
        </w:tc>
        <w:tc>
          <w:tcPr>
            <w:tcW w:type="dxa" w:w="792"/>
            <w:vAlign w:val="center"/>
            <w:shd w:fill="FFFFFF"/>
          </w:tcPr>
          <w:p>
            <w:pPr>
              <w:spacing w:line="259" w:lineRule="auto" w:after="20"/>
              <w:jc w:val="center"/>
            </w:pPr>
            <w:r>
              <w:rPr>
                <w:sz w:val="15"/>
              </w:rPr>
              <w:t>109</w:t>
            </w:r>
          </w:p>
        </w:tc>
        <w:tc>
          <w:tcPr>
            <w:tcW w:type="dxa" w:w="1181"/>
            <w:vAlign w:val="center"/>
            <w:shd w:fill="FFFFFF"/>
          </w:tcPr>
          <w:p>
            <w:pPr>
              <w:spacing w:line="259" w:lineRule="auto" w:after="20"/>
              <w:jc w:val="center"/>
            </w:pPr>
            <w:r>
              <w:rPr>
                <w:sz w:val="15"/>
              </w:rPr>
              <w:t>2,754</w:t>
            </w:r>
          </w:p>
        </w:tc>
        <w:tc>
          <w:tcPr>
            <w:tcW w:type="dxa" w:w="1267"/>
            <w:vAlign w:val="center"/>
            <w:shd w:fill="FFFFFF"/>
          </w:tcPr>
          <w:p>
            <w:pPr>
              <w:spacing w:line="259" w:lineRule="auto" w:after="20"/>
              <w:jc w:val="center"/>
            </w:pPr>
            <w:r>
              <w:rPr>
                <w:sz w:val="15"/>
              </w:rPr>
              <w:t>9,766</w:t>
            </w:r>
          </w:p>
        </w:tc>
        <w:tc>
          <w:tcPr>
            <w:tcW w:type="dxa" w:w="1181"/>
            <w:vAlign w:val="center"/>
            <w:shd w:fill="FFFFFF"/>
          </w:tcPr>
          <w:p>
            <w:pPr>
              <w:spacing w:line="259" w:lineRule="auto" w:after="20"/>
              <w:jc w:val="center"/>
            </w:pPr>
            <w:r>
              <w:rPr>
                <w:sz w:val="15"/>
              </w:rPr>
              <w:t>242.0</w:t>
            </w:r>
          </w:p>
        </w:tc>
        <w:tc>
          <w:tcPr>
            <w:tcW w:type="dxa" w:w="1181"/>
            <w:vAlign w:val="center"/>
            <w:shd w:fill="FFFFFF"/>
          </w:tcPr>
          <w:p>
            <w:pPr>
              <w:spacing w:line="259" w:lineRule="auto" w:after="20"/>
              <w:jc w:val="center"/>
            </w:pPr>
            <w:r>
              <w:rPr>
                <w:sz w:val="15"/>
              </w:rPr>
              <w:t>37.5%</w:t>
            </w:r>
          </w:p>
        </w:tc>
      </w:tr>
      <w:tr>
        <w:tc>
          <w:tcPr>
            <w:tcW w:type="dxa" w:w="1037"/>
            <w:vAlign w:val="center"/>
            <w:shd w:fill="F3F7FC"/>
          </w:tcPr>
          <w:p>
            <w:pPr>
              <w:spacing w:line="259" w:lineRule="auto" w:after="20"/>
              <w:jc w:val="center"/>
            </w:pPr>
            <w:r>
              <w:rPr>
                <w:sz w:val="15"/>
              </w:rPr>
              <w:t>08-04</w:t>
            </w:r>
          </w:p>
        </w:tc>
        <w:tc>
          <w:tcPr>
            <w:tcW w:type="dxa" w:w="1325"/>
            <w:vAlign w:val="center"/>
            <w:shd w:fill="F3F7FC"/>
          </w:tcPr>
          <w:p>
            <w:pPr>
              <w:spacing w:line="259" w:lineRule="auto" w:after="20"/>
              <w:jc w:val="center"/>
            </w:pPr>
            <w:r>
              <w:rPr>
                <w:sz w:val="15"/>
              </w:rPr>
              <w:t>2,364.28</w:t>
            </w:r>
          </w:p>
        </w:tc>
        <w:tc>
          <w:tcPr>
            <w:tcW w:type="dxa" w:w="893"/>
            <w:vAlign w:val="center"/>
            <w:shd w:fill="F3F7FC"/>
          </w:tcPr>
          <w:p>
            <w:pPr>
              <w:spacing w:line="259" w:lineRule="auto" w:after="20"/>
              <w:jc w:val="center"/>
            </w:pPr>
            <w:r>
              <w:rPr>
                <w:sz w:val="15"/>
              </w:rPr>
              <w:t>1.381</w:t>
            </w:r>
          </w:p>
        </w:tc>
        <w:tc>
          <w:tcPr>
            <w:tcW w:type="dxa" w:w="792"/>
            <w:vAlign w:val="center"/>
            <w:shd w:fill="F3F7FC"/>
          </w:tcPr>
          <w:p>
            <w:pPr>
              <w:spacing w:line="259" w:lineRule="auto" w:after="20"/>
              <w:jc w:val="center"/>
            </w:pPr>
            <w:r>
              <w:rPr>
                <w:sz w:val="15"/>
              </w:rPr>
              <w:t>109</w:t>
            </w:r>
          </w:p>
        </w:tc>
        <w:tc>
          <w:tcPr>
            <w:tcW w:type="dxa" w:w="1181"/>
            <w:vAlign w:val="center"/>
            <w:shd w:fill="F3F7FC"/>
          </w:tcPr>
          <w:p>
            <w:pPr>
              <w:spacing w:line="259" w:lineRule="auto" w:after="20"/>
              <w:jc w:val="center"/>
            </w:pPr>
            <w:r>
              <w:rPr>
                <w:sz w:val="15"/>
              </w:rPr>
              <w:t>2,632</w:t>
            </w:r>
          </w:p>
        </w:tc>
        <w:tc>
          <w:tcPr>
            <w:tcW w:type="dxa" w:w="1267"/>
            <w:vAlign w:val="center"/>
            <w:shd w:fill="F3F7FC"/>
          </w:tcPr>
          <w:p>
            <w:pPr>
              <w:spacing w:line="259" w:lineRule="auto" w:after="20"/>
              <w:jc w:val="center"/>
            </w:pPr>
            <w:r>
              <w:rPr>
                <w:sz w:val="15"/>
              </w:rPr>
              <w:t>9,143</w:t>
            </w:r>
          </w:p>
        </w:tc>
        <w:tc>
          <w:tcPr>
            <w:tcW w:type="dxa" w:w="1181"/>
            <w:vAlign w:val="center"/>
            <w:shd w:fill="F3F7FC"/>
          </w:tcPr>
          <w:p>
            <w:pPr>
              <w:spacing w:line="259" w:lineRule="auto" w:after="20"/>
              <w:jc w:val="center"/>
            </w:pPr>
            <w:r>
              <w:rPr>
                <w:sz w:val="15"/>
              </w:rPr>
              <w:t>260.2</w:t>
            </w:r>
          </w:p>
        </w:tc>
        <w:tc>
          <w:tcPr>
            <w:tcW w:type="dxa" w:w="1181"/>
            <w:vAlign w:val="center"/>
            <w:shd w:fill="F3F7FC"/>
          </w:tcPr>
          <w:p>
            <w:pPr>
              <w:spacing w:line="259" w:lineRule="auto" w:after="20"/>
              <w:jc w:val="center"/>
            </w:pPr>
            <w:r>
              <w:rPr>
                <w:sz w:val="15"/>
              </w:rPr>
              <w:t>37.6%</w:t>
            </w:r>
          </w:p>
        </w:tc>
      </w:tr>
      <w:tr>
        <w:tc>
          <w:tcPr>
            <w:tcW w:type="dxa" w:w="1037"/>
            <w:vAlign w:val="center"/>
            <w:shd w:fill="FFFFFF"/>
          </w:tcPr>
          <w:p>
            <w:pPr>
              <w:spacing w:line="259" w:lineRule="auto" w:after="20"/>
              <w:jc w:val="center"/>
            </w:pPr>
            <w:r>
              <w:rPr>
                <w:sz w:val="15"/>
              </w:rPr>
              <w:t>08-05</w:t>
            </w:r>
          </w:p>
        </w:tc>
        <w:tc>
          <w:tcPr>
            <w:tcW w:type="dxa" w:w="1325"/>
            <w:vAlign w:val="center"/>
            <w:shd w:fill="FFFFFF"/>
          </w:tcPr>
          <w:p>
            <w:pPr>
              <w:spacing w:line="259" w:lineRule="auto" w:after="20"/>
              <w:jc w:val="center"/>
            </w:pPr>
            <w:r>
              <w:rPr>
                <w:sz w:val="15"/>
              </w:rPr>
              <w:t>4,530.61</w:t>
            </w:r>
          </w:p>
        </w:tc>
        <w:tc>
          <w:tcPr>
            <w:tcW w:type="dxa" w:w="893"/>
            <w:vAlign w:val="center"/>
            <w:shd w:fill="FFFFFF"/>
          </w:tcPr>
          <w:p>
            <w:pPr>
              <w:spacing w:line="259" w:lineRule="auto" w:after="20"/>
              <w:jc w:val="center"/>
            </w:pPr>
            <w:r>
              <w:rPr>
                <w:sz w:val="15"/>
              </w:rPr>
              <w:t>1.432</w:t>
            </w:r>
          </w:p>
        </w:tc>
        <w:tc>
          <w:tcPr>
            <w:tcW w:type="dxa" w:w="792"/>
            <w:vAlign w:val="center"/>
            <w:shd w:fill="FFFFFF"/>
          </w:tcPr>
          <w:p>
            <w:pPr>
              <w:spacing w:line="259" w:lineRule="auto" w:after="20"/>
              <w:jc w:val="center"/>
            </w:pPr>
            <w:r>
              <w:rPr>
                <w:sz w:val="15"/>
              </w:rPr>
              <w:t>109</w:t>
            </w:r>
          </w:p>
        </w:tc>
        <w:tc>
          <w:tcPr>
            <w:tcW w:type="dxa" w:w="1181"/>
            <w:vAlign w:val="center"/>
            <w:shd w:fill="FFFFFF"/>
          </w:tcPr>
          <w:p>
            <w:pPr>
              <w:spacing w:line="259" w:lineRule="auto" w:after="20"/>
              <w:jc w:val="center"/>
            </w:pPr>
            <w:r>
              <w:rPr>
                <w:sz w:val="15"/>
              </w:rPr>
              <w:t>5,455</w:t>
            </w:r>
          </w:p>
        </w:tc>
        <w:tc>
          <w:tcPr>
            <w:tcW w:type="dxa" w:w="1267"/>
            <w:vAlign w:val="center"/>
            <w:shd w:fill="FFFFFF"/>
          </w:tcPr>
          <w:p>
            <w:pPr>
              <w:spacing w:line="259" w:lineRule="auto" w:after="20"/>
              <w:jc w:val="center"/>
            </w:pPr>
            <w:r>
              <w:rPr>
                <w:sz w:val="15"/>
              </w:rPr>
              <w:t>25,765</w:t>
            </w:r>
          </w:p>
        </w:tc>
        <w:tc>
          <w:tcPr>
            <w:tcW w:type="dxa" w:w="1181"/>
            <w:vAlign w:val="center"/>
            <w:shd w:fill="FFFFFF"/>
          </w:tcPr>
          <w:p>
            <w:pPr>
              <w:spacing w:line="259" w:lineRule="auto" w:after="20"/>
              <w:jc w:val="center"/>
            </w:pPr>
            <w:r>
              <w:rPr>
                <w:sz w:val="15"/>
              </w:rPr>
              <w:t>399.4</w:t>
            </w:r>
          </w:p>
        </w:tc>
        <w:tc>
          <w:tcPr>
            <w:tcW w:type="dxa" w:w="1181"/>
            <w:vAlign w:val="center"/>
            <w:shd w:fill="FFFFFF"/>
          </w:tcPr>
          <w:p>
            <w:pPr>
              <w:spacing w:line="259" w:lineRule="auto" w:after="20"/>
              <w:jc w:val="center"/>
            </w:pPr>
            <w:r>
              <w:rPr>
                <w:sz w:val="15"/>
              </w:rPr>
              <w:t>43.7%</w:t>
            </w:r>
          </w:p>
        </w:tc>
      </w:tr>
      <w:tr>
        <w:tc>
          <w:tcPr>
            <w:tcW w:type="dxa" w:w="1037"/>
            <w:vAlign w:val="center"/>
            <w:shd w:fill="F3F7FC"/>
          </w:tcPr>
          <w:p>
            <w:pPr>
              <w:spacing w:line="259" w:lineRule="auto" w:after="20"/>
              <w:jc w:val="center"/>
            </w:pPr>
            <w:r>
              <w:rPr>
                <w:sz w:val="15"/>
              </w:rPr>
              <w:t>08-06</w:t>
            </w:r>
          </w:p>
        </w:tc>
        <w:tc>
          <w:tcPr>
            <w:tcW w:type="dxa" w:w="1325"/>
            <w:vAlign w:val="center"/>
            <w:shd w:fill="F3F7FC"/>
          </w:tcPr>
          <w:p>
            <w:pPr>
              <w:spacing w:line="259" w:lineRule="auto" w:after="20"/>
              <w:jc w:val="center"/>
            </w:pPr>
            <w:r>
              <w:rPr>
                <w:sz w:val="15"/>
              </w:rPr>
              <w:t>5,300.02</w:t>
            </w:r>
          </w:p>
        </w:tc>
        <w:tc>
          <w:tcPr>
            <w:tcW w:type="dxa" w:w="893"/>
            <w:vAlign w:val="center"/>
            <w:shd w:fill="F3F7FC"/>
          </w:tcPr>
          <w:p>
            <w:pPr>
              <w:spacing w:line="259" w:lineRule="auto" w:after="20"/>
              <w:jc w:val="center"/>
            </w:pPr>
            <w:r>
              <w:rPr>
                <w:sz w:val="15"/>
              </w:rPr>
              <w:t>1.556</w:t>
            </w:r>
          </w:p>
        </w:tc>
        <w:tc>
          <w:tcPr>
            <w:tcW w:type="dxa" w:w="792"/>
            <w:vAlign w:val="center"/>
            <w:shd w:fill="F3F7FC"/>
          </w:tcPr>
          <w:p>
            <w:pPr>
              <w:spacing w:line="259" w:lineRule="auto" w:after="20"/>
              <w:jc w:val="center"/>
            </w:pPr>
            <w:r>
              <w:rPr>
                <w:sz w:val="15"/>
              </w:rPr>
              <w:t>110</w:t>
            </w:r>
          </w:p>
        </w:tc>
        <w:tc>
          <w:tcPr>
            <w:tcW w:type="dxa" w:w="1181"/>
            <w:vAlign w:val="center"/>
            <w:shd w:fill="F3F7FC"/>
          </w:tcPr>
          <w:p>
            <w:pPr>
              <w:spacing w:line="259" w:lineRule="auto" w:after="20"/>
              <w:jc w:val="center"/>
            </w:pPr>
            <w:r>
              <w:rPr>
                <w:sz w:val="15"/>
              </w:rPr>
              <w:t>8,629</w:t>
            </w:r>
          </w:p>
        </w:tc>
        <w:tc>
          <w:tcPr>
            <w:tcW w:type="dxa" w:w="1267"/>
            <w:vAlign w:val="center"/>
            <w:shd w:fill="F3F7FC"/>
          </w:tcPr>
          <w:p>
            <w:pPr>
              <w:spacing w:line="259" w:lineRule="auto" w:after="20"/>
              <w:jc w:val="center"/>
            </w:pPr>
            <w:r>
              <w:rPr>
                <w:sz w:val="15"/>
              </w:rPr>
              <w:t>27,235</w:t>
            </w:r>
          </w:p>
        </w:tc>
        <w:tc>
          <w:tcPr>
            <w:tcW w:type="dxa" w:w="1181"/>
            <w:vAlign w:val="center"/>
            <w:shd w:fill="F3F7FC"/>
          </w:tcPr>
          <w:p>
            <w:pPr>
              <w:spacing w:line="259" w:lineRule="auto" w:after="20"/>
              <w:jc w:val="center"/>
            </w:pPr>
            <w:r>
              <w:rPr>
                <w:sz w:val="15"/>
              </w:rPr>
              <w:t>541.7</w:t>
            </w:r>
          </w:p>
        </w:tc>
        <w:tc>
          <w:tcPr>
            <w:tcW w:type="dxa" w:w="1181"/>
            <w:vAlign w:val="center"/>
            <w:shd w:fill="F3F7FC"/>
          </w:tcPr>
          <w:p>
            <w:pPr>
              <w:spacing w:line="259" w:lineRule="auto" w:after="20"/>
              <w:jc w:val="center"/>
            </w:pPr>
            <w:r>
              <w:rPr>
                <w:sz w:val="15"/>
              </w:rPr>
              <w:t>78.8%</w:t>
            </w:r>
          </w:p>
        </w:tc>
      </w:tr>
      <w:tr>
        <w:tc>
          <w:tcPr>
            <w:tcW w:type="dxa" w:w="1037"/>
            <w:vAlign w:val="center"/>
            <w:shd w:fill="FFFFFF"/>
          </w:tcPr>
          <w:p>
            <w:pPr>
              <w:spacing w:line="259" w:lineRule="auto" w:after="20"/>
              <w:jc w:val="center"/>
            </w:pPr>
            <w:r>
              <w:rPr>
                <w:sz w:val="15"/>
              </w:rPr>
              <w:t>08-07</w:t>
            </w:r>
          </w:p>
        </w:tc>
        <w:tc>
          <w:tcPr>
            <w:tcW w:type="dxa" w:w="1325"/>
            <w:vAlign w:val="center"/>
            <w:shd w:fill="FFFFFF"/>
          </w:tcPr>
          <w:p>
            <w:pPr>
              <w:spacing w:line="259" w:lineRule="auto" w:after="20"/>
              <w:jc w:val="center"/>
            </w:pPr>
            <w:r>
              <w:rPr>
                <w:sz w:val="15"/>
              </w:rPr>
              <w:t>5,703.81</w:t>
            </w:r>
          </w:p>
        </w:tc>
        <w:tc>
          <w:tcPr>
            <w:tcW w:type="dxa" w:w="893"/>
            <w:vAlign w:val="center"/>
            <w:shd w:fill="FFFFFF"/>
          </w:tcPr>
          <w:p>
            <w:pPr>
              <w:spacing w:line="259" w:lineRule="auto" w:after="20"/>
              <w:jc w:val="center"/>
            </w:pPr>
            <w:r>
              <w:rPr>
                <w:sz w:val="15"/>
              </w:rPr>
              <w:t>1.473</w:t>
            </w:r>
          </w:p>
        </w:tc>
        <w:tc>
          <w:tcPr>
            <w:tcW w:type="dxa" w:w="792"/>
            <w:vAlign w:val="center"/>
            <w:shd w:fill="FFFFFF"/>
          </w:tcPr>
          <w:p>
            <w:pPr>
              <w:spacing w:line="259" w:lineRule="auto" w:after="20"/>
              <w:jc w:val="center"/>
            </w:pPr>
            <w:r>
              <w:rPr>
                <w:sz w:val="15"/>
              </w:rPr>
              <w:t>109</w:t>
            </w:r>
          </w:p>
        </w:tc>
        <w:tc>
          <w:tcPr>
            <w:tcW w:type="dxa" w:w="1181"/>
            <w:vAlign w:val="center"/>
            <w:shd w:fill="FFFFFF"/>
          </w:tcPr>
          <w:p>
            <w:pPr>
              <w:spacing w:line="259" w:lineRule="auto" w:after="20"/>
              <w:jc w:val="center"/>
            </w:pPr>
            <w:r>
              <w:rPr>
                <w:sz w:val="15"/>
              </w:rPr>
              <w:t>8,038</w:t>
            </w:r>
          </w:p>
        </w:tc>
        <w:tc>
          <w:tcPr>
            <w:tcW w:type="dxa" w:w="1267"/>
            <w:vAlign w:val="center"/>
            <w:shd w:fill="FFFFFF"/>
          </w:tcPr>
          <w:p>
            <w:pPr>
              <w:spacing w:line="259" w:lineRule="auto" w:after="20"/>
              <w:jc w:val="center"/>
            </w:pPr>
            <w:r>
              <w:rPr>
                <w:sz w:val="15"/>
              </w:rPr>
              <w:t>26,485</w:t>
            </w:r>
          </w:p>
        </w:tc>
        <w:tc>
          <w:tcPr>
            <w:tcW w:type="dxa" w:w="1181"/>
            <w:vAlign w:val="center"/>
            <w:shd w:fill="FFFFFF"/>
          </w:tcPr>
          <w:p>
            <w:pPr>
              <w:spacing w:line="259" w:lineRule="auto" w:after="20"/>
              <w:jc w:val="center"/>
            </w:pPr>
            <w:r>
              <w:rPr>
                <w:sz w:val="15"/>
              </w:rPr>
              <w:t>487.0</w:t>
            </w:r>
          </w:p>
        </w:tc>
        <w:tc>
          <w:tcPr>
            <w:tcW w:type="dxa" w:w="1181"/>
            <w:vAlign w:val="center"/>
            <w:shd w:fill="FFFFFF"/>
          </w:tcPr>
          <w:p>
            <w:pPr>
              <w:spacing w:line="259" w:lineRule="auto" w:after="20"/>
              <w:jc w:val="center"/>
            </w:pPr>
            <w:r>
              <w:rPr>
                <w:sz w:val="15"/>
              </w:rPr>
              <w:t>63.4%</w:t>
            </w:r>
          </w:p>
        </w:tc>
      </w:tr>
      <w:tr>
        <w:tc>
          <w:tcPr>
            <w:tcW w:type="dxa" w:w="1037"/>
            <w:vAlign w:val="center"/>
            <w:shd w:fill="F3F7FC"/>
          </w:tcPr>
          <w:p>
            <w:pPr>
              <w:spacing w:line="259" w:lineRule="auto" w:after="20"/>
              <w:jc w:val="center"/>
            </w:pPr>
            <w:r>
              <w:rPr>
                <w:sz w:val="15"/>
              </w:rPr>
              <w:t>08-08</w:t>
            </w:r>
          </w:p>
        </w:tc>
        <w:tc>
          <w:tcPr>
            <w:tcW w:type="dxa" w:w="1325"/>
            <w:vAlign w:val="center"/>
            <w:shd w:fill="F3F7FC"/>
          </w:tcPr>
          <w:p>
            <w:pPr>
              <w:spacing w:line="259" w:lineRule="auto" w:after="20"/>
              <w:jc w:val="center"/>
            </w:pPr>
            <w:r>
              <w:rPr>
                <w:sz w:val="15"/>
              </w:rPr>
              <w:t>5,924.10</w:t>
            </w:r>
          </w:p>
        </w:tc>
        <w:tc>
          <w:tcPr>
            <w:tcW w:type="dxa" w:w="893"/>
            <w:vAlign w:val="center"/>
            <w:shd w:fill="F3F7FC"/>
          </w:tcPr>
          <w:p>
            <w:pPr>
              <w:spacing w:line="259" w:lineRule="auto" w:after="20"/>
              <w:jc w:val="center"/>
            </w:pPr>
            <w:r>
              <w:rPr>
                <w:sz w:val="15"/>
              </w:rPr>
              <w:t>1.422</w:t>
            </w:r>
          </w:p>
        </w:tc>
        <w:tc>
          <w:tcPr>
            <w:tcW w:type="dxa" w:w="792"/>
            <w:vAlign w:val="center"/>
            <w:shd w:fill="F3F7FC"/>
          </w:tcPr>
          <w:p>
            <w:pPr>
              <w:spacing w:line="259" w:lineRule="auto" w:after="20"/>
              <w:jc w:val="center"/>
            </w:pPr>
            <w:r>
              <w:rPr>
                <w:sz w:val="15"/>
              </w:rPr>
              <w:t>110</w:t>
            </w:r>
          </w:p>
        </w:tc>
        <w:tc>
          <w:tcPr>
            <w:tcW w:type="dxa" w:w="1181"/>
            <w:vAlign w:val="center"/>
            <w:shd w:fill="F3F7FC"/>
          </w:tcPr>
          <w:p>
            <w:pPr>
              <w:spacing w:line="259" w:lineRule="auto" w:after="20"/>
              <w:jc w:val="center"/>
            </w:pPr>
            <w:r>
              <w:rPr>
                <w:sz w:val="15"/>
              </w:rPr>
              <w:t>7,559</w:t>
            </w:r>
          </w:p>
        </w:tc>
        <w:tc>
          <w:tcPr>
            <w:tcW w:type="dxa" w:w="1267"/>
            <w:vAlign w:val="center"/>
            <w:shd w:fill="F3F7FC"/>
          </w:tcPr>
          <w:p>
            <w:pPr>
              <w:spacing w:line="259" w:lineRule="auto" w:after="20"/>
              <w:jc w:val="center"/>
            </w:pPr>
            <w:r>
              <w:rPr>
                <w:sz w:val="15"/>
              </w:rPr>
              <w:t>25,625</w:t>
            </w:r>
          </w:p>
        </w:tc>
        <w:tc>
          <w:tcPr>
            <w:tcW w:type="dxa" w:w="1181"/>
            <w:vAlign w:val="center"/>
            <w:shd w:fill="F3F7FC"/>
          </w:tcPr>
          <w:p>
            <w:pPr>
              <w:spacing w:line="259" w:lineRule="auto" w:after="20"/>
              <w:jc w:val="center"/>
            </w:pPr>
            <w:r>
              <w:rPr>
                <w:sz w:val="15"/>
              </w:rPr>
              <w:t>413.8</w:t>
            </w:r>
          </w:p>
        </w:tc>
        <w:tc>
          <w:tcPr>
            <w:tcW w:type="dxa" w:w="1181"/>
            <w:vAlign w:val="center"/>
            <w:shd w:fill="F3F7FC"/>
          </w:tcPr>
          <w:p>
            <w:pPr>
              <w:spacing w:line="259" w:lineRule="auto" w:after="20"/>
              <w:jc w:val="center"/>
            </w:pPr>
            <w:r>
              <w:rPr>
                <w:sz w:val="15"/>
              </w:rPr>
              <w:t>53.3%</w:t>
            </w:r>
          </w:p>
        </w:tc>
      </w:tr>
    </w:tbl>
    <w:p>
      <w:pPr>
        <w:spacing w:after="0"/>
      </w:pPr>
    </w:p>
    <w:p>
      <w:r>
        <w:t>“估计提升”表示模型预测注册量相对于原记录注册数的变化率。该结果依赖历史效率在重新配置后能够基本保持的假设，因此用于比较方案，不作为真实增长承诺。</w:t>
      </w:r>
    </w:p>
    <w:p>
      <w:pPr>
        <w:keepNext/>
        <w:jc w:val="center"/>
      </w:pPr>
      <w:r>
        <w:drawing>
          <wp:inline xmlns:a="http://schemas.openxmlformats.org/drawingml/2006/main" xmlns:pic="http://schemas.openxmlformats.org/drawingml/2006/picture">
            <wp:extent cx="5943600" cy="3169920"/>
            <wp:docPr id="13" name="Picture 13"/>
            <wp:cNvGraphicFramePr>
              <a:graphicFrameLocks noChangeAspect="1"/>
            </wp:cNvGraphicFramePr>
            <a:graphic>
              <a:graphicData uri="http://schemas.openxmlformats.org/drawingml/2006/picture">
                <pic:pic>
                  <pic:nvPicPr>
                    <pic:cNvPr id="0" name="compare_clicks.png"/>
                    <pic:cNvPicPr/>
                  </pic:nvPicPr>
                  <pic:blipFill>
                    <a:blip r:embed="rId21"/>
                    <a:stretch>
                      <a:fillRect/>
                    </a:stretch>
                  </pic:blipFill>
                  <pic:spPr>
                    <a:xfrm>
                      <a:off x="0" y="0"/>
                      <a:ext cx="5943600" cy="3169920"/>
                    </a:xfrm>
                    <a:prstGeom prst="rect"/>
                  </pic:spPr>
                </pic:pic>
              </a:graphicData>
            </a:graphic>
          </wp:inline>
        </w:drawing>
      </w:r>
    </w:p>
    <w:p>
      <w:pPr>
        <w:spacing w:after="100"/>
        <w:jc w:val="center"/>
      </w:pPr>
      <w:r>
        <w:rPr>
          <w:b/>
          <w:sz w:val="18"/>
        </w:rPr>
        <w:t>图2  同预算下原方案与优化方案点击量比较</w:t>
      </w:r>
    </w:p>
    <w:p>
      <w:r>
        <w:t>图2显示，同预算重新分配后，各目标日期的预期点击量均高于原方案。8月的点击规模明显大于2月，但8月点击注册率偏低，因而不能只依据点击量评价最终效益。</w:t>
      </w:r>
    </w:p>
    <w:p>
      <w:pPr>
        <w:pStyle w:val="Heading1"/>
      </w:pPr>
      <w:r>
        <w:t>八 结果明细与模板对应</w:t>
      </w:r>
    </w:p>
    <w:p>
      <w:r>
        <w:t>最终结果必须严格按照题目模板输出，每一行对应“某日—某方案—某推广单元—某关键词”的一条投放记录。列名和填写内容如下。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656"/>
            <w:shd w:fill="173B67"/>
            <w:vAlign w:val="center"/>
          </w:tcPr>
          <w:p>
            <w:pPr>
              <w:jc w:val="center"/>
            </w:pPr>
            <w:r>
              <w:rPr>
                <w:b/>
                <w:color w:val="FFFFFF"/>
                <w:sz w:val="16"/>
              </w:rPr>
              <w:t>模板列</w:t>
            </w:r>
          </w:p>
        </w:tc>
        <w:tc>
          <w:tcPr>
            <w:tcW w:type="dxa" w:w="3528"/>
            <w:shd w:fill="173B67"/>
            <w:vAlign w:val="center"/>
          </w:tcPr>
          <w:p>
            <w:pPr>
              <w:jc w:val="center"/>
            </w:pPr>
            <w:r>
              <w:rPr>
                <w:b/>
                <w:color w:val="FFFFFF"/>
                <w:sz w:val="16"/>
              </w:rPr>
              <w:t>填写内容</w:t>
            </w:r>
          </w:p>
        </w:tc>
        <w:tc>
          <w:tcPr>
            <w:tcW w:type="dxa" w:w="3816"/>
            <w:shd w:fill="173B67"/>
            <w:vAlign w:val="center"/>
          </w:tcPr>
          <w:p>
            <w:pPr>
              <w:jc w:val="center"/>
            </w:pPr>
            <w:r>
              <w:rPr>
                <w:b/>
                <w:color w:val="FFFFFF"/>
                <w:sz w:val="16"/>
              </w:rPr>
              <w:t>来源</w:t>
            </w:r>
          </w:p>
        </w:tc>
      </w:tr>
      <w:tr>
        <w:tc>
          <w:tcPr>
            <w:tcW w:type="dxa" w:w="1656"/>
            <w:vAlign w:val="center"/>
            <w:shd w:fill="FFFFFF"/>
          </w:tcPr>
          <w:p>
            <w:pPr>
              <w:spacing w:line="259" w:lineRule="auto" w:after="20"/>
              <w:jc w:val="center"/>
            </w:pPr>
            <w:r>
              <w:rPr>
                <w:sz w:val="16"/>
              </w:rPr>
              <w:t>日期</w:t>
            </w:r>
          </w:p>
        </w:tc>
        <w:tc>
          <w:tcPr>
            <w:tcW w:type="dxa" w:w="3528"/>
            <w:vAlign w:val="center"/>
            <w:shd w:fill="FFFFFF"/>
          </w:tcPr>
          <w:p>
            <w:pPr>
              <w:spacing w:line="259" w:lineRule="auto" w:after="20"/>
              <w:jc w:val="center"/>
            </w:pPr>
            <w:r>
              <w:rPr>
                <w:sz w:val="16"/>
              </w:rPr>
              <w:t>2025年2月1—8日或8月1—8日</w:t>
            </w:r>
          </w:p>
        </w:tc>
        <w:tc>
          <w:tcPr>
            <w:tcW w:type="dxa" w:w="3816"/>
            <w:vAlign w:val="center"/>
            <w:shd w:fill="FFFFFF"/>
          </w:tcPr>
          <w:p>
            <w:pPr>
              <w:spacing w:line="259" w:lineRule="auto" w:after="20"/>
              <w:jc w:val="center"/>
            </w:pPr>
            <w:r>
              <w:rPr>
                <w:sz w:val="16"/>
              </w:rPr>
              <w:t>日期t</w:t>
            </w:r>
          </w:p>
        </w:tc>
      </w:tr>
      <w:tr>
        <w:tc>
          <w:tcPr>
            <w:tcW w:type="dxa" w:w="1656"/>
            <w:vAlign w:val="center"/>
            <w:shd w:fill="F3F7FC"/>
          </w:tcPr>
          <w:p>
            <w:pPr>
              <w:spacing w:line="259" w:lineRule="auto" w:after="20"/>
              <w:jc w:val="center"/>
            </w:pPr>
            <w:r>
              <w:rPr>
                <w:sz w:val="16"/>
              </w:rPr>
              <w:t>方案ID</w:t>
            </w:r>
          </w:p>
        </w:tc>
        <w:tc>
          <w:tcPr>
            <w:tcW w:type="dxa" w:w="3528"/>
            <w:vAlign w:val="center"/>
            <w:shd w:fill="F3F7FC"/>
          </w:tcPr>
          <w:p>
            <w:pPr>
              <w:spacing w:line="259" w:lineRule="auto" w:after="20"/>
              <w:jc w:val="center"/>
            </w:pPr>
            <w:r>
              <w:rPr>
                <w:sz w:val="16"/>
              </w:rPr>
              <w:t>关键词所属方案编号</w:t>
            </w:r>
          </w:p>
        </w:tc>
        <w:tc>
          <w:tcPr>
            <w:tcW w:type="dxa" w:w="3816"/>
            <w:vAlign w:val="center"/>
            <w:shd w:fill="F3F7FC"/>
          </w:tcPr>
          <w:p>
            <w:pPr>
              <w:spacing w:line="259" w:lineRule="auto" w:after="20"/>
              <w:jc w:val="center"/>
            </w:pPr>
            <w:r>
              <w:rPr>
                <w:sz w:val="16"/>
              </w:rPr>
              <w:t>由投放单元j还原</w:t>
            </w:r>
          </w:p>
        </w:tc>
      </w:tr>
      <w:tr>
        <w:tc>
          <w:tcPr>
            <w:tcW w:type="dxa" w:w="1656"/>
            <w:vAlign w:val="center"/>
            <w:shd w:fill="FFFFFF"/>
          </w:tcPr>
          <w:p>
            <w:pPr>
              <w:spacing w:line="259" w:lineRule="auto" w:after="20"/>
              <w:jc w:val="center"/>
            </w:pPr>
            <w:r>
              <w:rPr>
                <w:sz w:val="16"/>
              </w:rPr>
              <w:t>推广单元</w:t>
            </w:r>
          </w:p>
        </w:tc>
        <w:tc>
          <w:tcPr>
            <w:tcW w:type="dxa" w:w="3528"/>
            <w:vAlign w:val="center"/>
            <w:shd w:fill="FFFFFF"/>
          </w:tcPr>
          <w:p>
            <w:pPr>
              <w:spacing w:line="259" w:lineRule="auto" w:after="20"/>
              <w:jc w:val="center"/>
            </w:pPr>
            <w:r>
              <w:rPr>
                <w:sz w:val="16"/>
              </w:rPr>
              <w:t>关键词所属推广单元编号</w:t>
            </w:r>
          </w:p>
        </w:tc>
        <w:tc>
          <w:tcPr>
            <w:tcW w:type="dxa" w:w="3816"/>
            <w:vAlign w:val="center"/>
            <w:shd w:fill="FFFFFF"/>
          </w:tcPr>
          <w:p>
            <w:pPr>
              <w:spacing w:line="259" w:lineRule="auto" w:after="20"/>
              <w:jc w:val="center"/>
            </w:pPr>
            <w:r>
              <w:rPr>
                <w:sz w:val="16"/>
              </w:rPr>
              <w:t>由投放单元j还原</w:t>
            </w:r>
          </w:p>
        </w:tc>
      </w:tr>
      <w:tr>
        <w:tc>
          <w:tcPr>
            <w:tcW w:type="dxa" w:w="1656"/>
            <w:vAlign w:val="center"/>
            <w:shd w:fill="F3F7FC"/>
          </w:tcPr>
          <w:p>
            <w:pPr>
              <w:spacing w:line="259" w:lineRule="auto" w:after="20"/>
              <w:jc w:val="center"/>
            </w:pPr>
            <w:r>
              <w:rPr>
                <w:sz w:val="16"/>
              </w:rPr>
              <w:t>关键词</w:t>
            </w:r>
          </w:p>
        </w:tc>
        <w:tc>
          <w:tcPr>
            <w:tcW w:type="dxa" w:w="3528"/>
            <w:vAlign w:val="center"/>
            <w:shd w:fill="F3F7FC"/>
          </w:tcPr>
          <w:p>
            <w:pPr>
              <w:spacing w:line="259" w:lineRule="auto" w:after="20"/>
              <w:jc w:val="center"/>
            </w:pPr>
            <w:r>
              <w:rPr>
                <w:sz w:val="16"/>
              </w:rPr>
              <w:t>被模型选中的关键词编号</w:t>
            </w:r>
          </w:p>
        </w:tc>
        <w:tc>
          <w:tcPr>
            <w:tcW w:type="dxa" w:w="3816"/>
            <w:vAlign w:val="center"/>
            <w:shd w:fill="F3F7FC"/>
          </w:tcPr>
          <w:p>
            <w:pPr>
              <w:spacing w:line="259" w:lineRule="auto" w:after="20"/>
              <w:jc w:val="center"/>
            </w:pPr>
            <w:r>
              <w:rPr>
                <w:sz w:val="16"/>
              </w:rPr>
              <w:t>关键词i</w:t>
            </w:r>
          </w:p>
        </w:tc>
      </w:tr>
      <w:tr>
        <w:tc>
          <w:tcPr>
            <w:tcW w:type="dxa" w:w="1656"/>
            <w:vAlign w:val="center"/>
            <w:shd w:fill="FFFFFF"/>
          </w:tcPr>
          <w:p>
            <w:pPr>
              <w:spacing w:line="259" w:lineRule="auto" w:after="20"/>
              <w:jc w:val="center"/>
            </w:pPr>
            <w:r>
              <w:rPr>
                <w:sz w:val="16"/>
              </w:rPr>
              <w:t>投入金额</w:t>
            </w:r>
          </w:p>
        </w:tc>
        <w:tc>
          <w:tcPr>
            <w:tcW w:type="dxa" w:w="3528"/>
            <w:vAlign w:val="center"/>
            <w:shd w:fill="FFFFFF"/>
          </w:tcPr>
          <w:p>
            <w:pPr>
              <w:spacing w:line="259" w:lineRule="auto" w:after="20"/>
              <w:jc w:val="center"/>
            </w:pPr>
            <w:r>
              <w:rPr>
                <w:sz w:val="16"/>
              </w:rPr>
              <w:t>该词当天最优投入</w:t>
            </w:r>
          </w:p>
        </w:tc>
        <w:tc>
          <w:tcPr>
            <w:tcW w:type="dxa" w:w="3816"/>
            <w:vAlign w:val="center"/>
            <w:shd w:fill="FFFFFF"/>
          </w:tcPr>
          <w:p>
            <w:pPr>
              <w:spacing w:line="259" w:lineRule="auto" w:after="20"/>
              <w:jc w:val="center"/>
            </w:pPr>
            <w:r>
              <w:rPr>
                <w:sz w:val="16"/>
              </w:rPr>
              <w:t>bᵢⱼₜ</w:t>
            </w:r>
          </w:p>
        </w:tc>
      </w:tr>
      <w:tr>
        <w:tc>
          <w:tcPr>
            <w:tcW w:type="dxa" w:w="1656"/>
            <w:vAlign w:val="center"/>
            <w:shd w:fill="F3F7FC"/>
          </w:tcPr>
          <w:p>
            <w:pPr>
              <w:spacing w:line="259" w:lineRule="auto" w:after="20"/>
              <w:jc w:val="center"/>
            </w:pPr>
            <w:r>
              <w:rPr>
                <w:sz w:val="16"/>
              </w:rPr>
              <w:t>预期展位</w:t>
            </w:r>
          </w:p>
        </w:tc>
        <w:tc>
          <w:tcPr>
            <w:tcW w:type="dxa" w:w="3528"/>
            <w:vAlign w:val="center"/>
            <w:shd w:fill="F3F7FC"/>
          </w:tcPr>
          <w:p>
            <w:pPr>
              <w:spacing w:line="259" w:lineRule="auto" w:after="20"/>
              <w:jc w:val="center"/>
            </w:pPr>
            <w:r>
              <w:rPr>
                <w:sz w:val="16"/>
              </w:rPr>
              <w:t>平均展位代理值</w:t>
            </w:r>
          </w:p>
        </w:tc>
        <w:tc>
          <w:tcPr>
            <w:tcW w:type="dxa" w:w="3816"/>
            <w:vAlign w:val="center"/>
            <w:shd w:fill="F3F7FC"/>
          </w:tcPr>
          <w:p>
            <w:pPr>
              <w:spacing w:line="259" w:lineRule="auto" w:after="20"/>
              <w:jc w:val="center"/>
            </w:pPr>
            <w:r>
              <w:rPr>
                <w:sz w:val="16"/>
              </w:rPr>
              <w:t>pⱼₜ</w:t>
            </w:r>
          </w:p>
        </w:tc>
      </w:tr>
      <w:tr>
        <w:tc>
          <w:tcPr>
            <w:tcW w:type="dxa" w:w="1656"/>
            <w:vAlign w:val="center"/>
            <w:shd w:fill="FFFFFF"/>
          </w:tcPr>
          <w:p>
            <w:pPr>
              <w:spacing w:line="259" w:lineRule="auto" w:after="20"/>
              <w:jc w:val="center"/>
            </w:pPr>
            <w:r>
              <w:rPr>
                <w:sz w:val="16"/>
              </w:rPr>
              <w:t>预期点击量</w:t>
            </w:r>
          </w:p>
        </w:tc>
        <w:tc>
          <w:tcPr>
            <w:tcW w:type="dxa" w:w="3528"/>
            <w:vAlign w:val="center"/>
            <w:shd w:fill="FFFFFF"/>
          </w:tcPr>
          <w:p>
            <w:pPr>
              <w:spacing w:line="259" w:lineRule="auto" w:after="20"/>
              <w:jc w:val="center"/>
            </w:pPr>
            <w:r>
              <w:rPr>
                <w:sz w:val="16"/>
              </w:rPr>
              <w:t>该词预计点击量</w:t>
            </w:r>
          </w:p>
        </w:tc>
        <w:tc>
          <w:tcPr>
            <w:tcW w:type="dxa" w:w="3816"/>
            <w:vAlign w:val="center"/>
            <w:shd w:fill="FFFFFF"/>
          </w:tcPr>
          <w:p>
            <w:pPr>
              <w:spacing w:line="259" w:lineRule="auto" w:after="20"/>
              <w:jc w:val="center"/>
            </w:pPr>
            <w:r>
              <w:rPr>
                <w:sz w:val="16"/>
              </w:rPr>
              <w:t>K̂ᵢⱼₜ</w:t>
            </w:r>
          </w:p>
        </w:tc>
      </w:tr>
      <w:tr>
        <w:tc>
          <w:tcPr>
            <w:tcW w:type="dxa" w:w="1656"/>
            <w:vAlign w:val="center"/>
            <w:shd w:fill="F3F7FC"/>
          </w:tcPr>
          <w:p>
            <w:pPr>
              <w:spacing w:line="259" w:lineRule="auto" w:after="20"/>
              <w:jc w:val="center"/>
            </w:pPr>
            <w:r>
              <w:rPr>
                <w:sz w:val="16"/>
              </w:rPr>
              <w:t>预期浏览量</w:t>
            </w:r>
          </w:p>
        </w:tc>
        <w:tc>
          <w:tcPr>
            <w:tcW w:type="dxa" w:w="3528"/>
            <w:vAlign w:val="center"/>
            <w:shd w:fill="F3F7FC"/>
          </w:tcPr>
          <w:p>
            <w:pPr>
              <w:spacing w:line="259" w:lineRule="auto" w:after="20"/>
              <w:jc w:val="center"/>
            </w:pPr>
            <w:r>
              <w:rPr>
                <w:sz w:val="16"/>
              </w:rPr>
              <w:t>该词预计浏览量</w:t>
            </w:r>
          </w:p>
        </w:tc>
        <w:tc>
          <w:tcPr>
            <w:tcW w:type="dxa" w:w="3816"/>
            <w:vAlign w:val="center"/>
            <w:shd w:fill="F3F7FC"/>
          </w:tcPr>
          <w:p>
            <w:pPr>
              <w:spacing w:line="259" w:lineRule="auto" w:after="20"/>
              <w:jc w:val="center"/>
            </w:pPr>
            <w:r>
              <w:rPr>
                <w:sz w:val="16"/>
              </w:rPr>
              <w:t>V̂ᵢⱼₜ</w:t>
            </w:r>
          </w:p>
        </w:tc>
      </w:tr>
      <w:tr>
        <w:tc>
          <w:tcPr>
            <w:tcW w:type="dxa" w:w="1656"/>
            <w:vAlign w:val="center"/>
            <w:shd w:fill="FFFFFF"/>
          </w:tcPr>
          <w:p>
            <w:pPr>
              <w:spacing w:line="259" w:lineRule="auto" w:after="20"/>
              <w:jc w:val="center"/>
            </w:pPr>
            <w:r>
              <w:rPr>
                <w:sz w:val="16"/>
              </w:rPr>
              <w:t>预期注册量</w:t>
            </w:r>
          </w:p>
        </w:tc>
        <w:tc>
          <w:tcPr>
            <w:tcW w:type="dxa" w:w="3528"/>
            <w:vAlign w:val="center"/>
            <w:shd w:fill="FFFFFF"/>
          </w:tcPr>
          <w:p>
            <w:pPr>
              <w:spacing w:line="259" w:lineRule="auto" w:after="20"/>
              <w:jc w:val="center"/>
            </w:pPr>
            <w:r>
              <w:rPr>
                <w:sz w:val="16"/>
              </w:rPr>
              <w:t>该词预计注册量</w:t>
            </w:r>
          </w:p>
        </w:tc>
        <w:tc>
          <w:tcPr>
            <w:tcW w:type="dxa" w:w="3816"/>
            <w:vAlign w:val="center"/>
            <w:shd w:fill="FFFFFF"/>
          </w:tcPr>
          <w:p>
            <w:pPr>
              <w:spacing w:line="259" w:lineRule="auto" w:after="20"/>
              <w:jc w:val="center"/>
            </w:pPr>
            <w:r>
              <w:rPr>
                <w:sz w:val="16"/>
              </w:rPr>
              <w:t>R̂ᵢⱼₜ</w:t>
            </w:r>
          </w:p>
        </w:tc>
      </w:tr>
    </w:tbl>
    <w:p>
      <w:pPr>
        <w:spacing w:after="0"/>
      </w:pPr>
    </w:p>
    <w:p>
      <w:r>
        <w:t>表8列顺序必须固定为：日期、方案ID、推广单元、关键词、投入金额、预期展位、预期点击量、预期浏览量、预期注册量。只输出投入金额大于0的关键词，不能增加“类型”“得分”等额外列。</w:t>
      </w:r>
    </w:p>
    <w:p>
      <w:pPr>
        <w:pStyle w:val="Heading2"/>
      </w:pPr>
      <w:r>
        <w:t>8.1 代表性结果</w:t>
      </w:r>
    </w:p>
    <w:p>
      <w:r>
        <w:t>论文正文不宜列出全部1123条记录，可选择2月1日和8月1日展示投入金额较高的关键词；完整记录写入result3.xlsx。</w:t>
      </w:r>
    </w:p>
    <w:p>
      <w:pPr>
        <w:pStyle w:val="Heading3"/>
      </w:pPr>
      <w:r>
        <w:t>2025年02月01日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10"/>
        <w:gridCol w:w="1110"/>
        <w:gridCol w:w="1110"/>
        <w:gridCol w:w="1110"/>
        <w:gridCol w:w="1110"/>
        <w:gridCol w:w="1110"/>
        <w:gridCol w:w="1110"/>
        <w:gridCol w:w="1110"/>
        <w:gridCol w:w="1110"/>
      </w:tblGrid>
      <w:tr>
        <w:trPr>
          <w:tblHeader w:val="true"/>
        </w:trPr>
        <w:tc>
          <w:tcPr>
            <w:tcW w:type="dxa" w:w="1123"/>
            <w:shd w:fill="173B67"/>
            <w:vAlign w:val="center"/>
          </w:tcPr>
          <w:p>
            <w:pPr>
              <w:jc w:val="center"/>
            </w:pPr>
            <w:r>
              <w:rPr>
                <w:b/>
                <w:color w:val="FFFFFF"/>
                <w:sz w:val="13"/>
              </w:rPr>
              <w:t>日期</w:t>
            </w:r>
          </w:p>
        </w:tc>
        <w:tc>
          <w:tcPr>
            <w:tcW w:type="dxa" w:w="1080"/>
            <w:shd w:fill="173B67"/>
            <w:vAlign w:val="center"/>
          </w:tcPr>
          <w:p>
            <w:pPr>
              <w:jc w:val="center"/>
            </w:pPr>
            <w:r>
              <w:rPr>
                <w:b/>
                <w:color w:val="FFFFFF"/>
                <w:sz w:val="13"/>
              </w:rPr>
              <w:t>方案ID</w:t>
            </w:r>
          </w:p>
        </w:tc>
        <w:tc>
          <w:tcPr>
            <w:tcW w:type="dxa" w:w="1181"/>
            <w:shd w:fill="173B67"/>
            <w:vAlign w:val="center"/>
          </w:tcPr>
          <w:p>
            <w:pPr>
              <w:jc w:val="center"/>
            </w:pPr>
            <w:r>
              <w:rPr>
                <w:b/>
                <w:color w:val="FFFFFF"/>
                <w:sz w:val="13"/>
              </w:rPr>
              <w:t>推广单元</w:t>
            </w:r>
          </w:p>
        </w:tc>
        <w:tc>
          <w:tcPr>
            <w:tcW w:type="dxa" w:w="792"/>
            <w:shd w:fill="173B67"/>
            <w:vAlign w:val="center"/>
          </w:tcPr>
          <w:p>
            <w:pPr>
              <w:jc w:val="center"/>
            </w:pPr>
            <w:r>
              <w:rPr>
                <w:b/>
                <w:color w:val="FFFFFF"/>
                <w:sz w:val="13"/>
              </w:rPr>
              <w:t>关键词</w:t>
            </w:r>
          </w:p>
        </w:tc>
        <w:tc>
          <w:tcPr>
            <w:tcW w:type="dxa" w:w="979"/>
            <w:shd w:fill="173B67"/>
            <w:vAlign w:val="center"/>
          </w:tcPr>
          <w:p>
            <w:pPr>
              <w:jc w:val="center"/>
            </w:pPr>
            <w:r>
              <w:rPr>
                <w:b/>
                <w:color w:val="FFFFFF"/>
                <w:sz w:val="13"/>
              </w:rPr>
              <w:t>投入金额</w:t>
            </w:r>
          </w:p>
        </w:tc>
        <w:tc>
          <w:tcPr>
            <w:tcW w:type="dxa" w:w="936"/>
            <w:shd w:fill="173B67"/>
            <w:vAlign w:val="center"/>
          </w:tcPr>
          <w:p>
            <w:pPr>
              <w:jc w:val="center"/>
            </w:pPr>
            <w:r>
              <w:rPr>
                <w:b/>
                <w:color w:val="FFFFFF"/>
                <w:sz w:val="13"/>
              </w:rPr>
              <w:t>预期展位</w:t>
            </w:r>
          </w:p>
        </w:tc>
        <w:tc>
          <w:tcPr>
            <w:tcW w:type="dxa" w:w="1037"/>
            <w:shd w:fill="173B67"/>
            <w:vAlign w:val="center"/>
          </w:tcPr>
          <w:p>
            <w:pPr>
              <w:jc w:val="center"/>
            </w:pPr>
            <w:r>
              <w:rPr>
                <w:b/>
                <w:color w:val="FFFFFF"/>
                <w:sz w:val="13"/>
              </w:rPr>
              <w:t>预期点击量</w:t>
            </w:r>
          </w:p>
        </w:tc>
        <w:tc>
          <w:tcPr>
            <w:tcW w:type="dxa" w:w="1037"/>
            <w:shd w:fill="173B67"/>
            <w:vAlign w:val="center"/>
          </w:tcPr>
          <w:p>
            <w:pPr>
              <w:jc w:val="center"/>
            </w:pPr>
            <w:r>
              <w:rPr>
                <w:b/>
                <w:color w:val="FFFFFF"/>
                <w:sz w:val="13"/>
              </w:rPr>
              <w:t>预期浏览量</w:t>
            </w:r>
          </w:p>
        </w:tc>
        <w:tc>
          <w:tcPr>
            <w:tcW w:type="dxa" w:w="1037"/>
            <w:shd w:fill="173B67"/>
            <w:vAlign w:val="center"/>
          </w:tcPr>
          <w:p>
            <w:pPr>
              <w:jc w:val="center"/>
            </w:pPr>
            <w:r>
              <w:rPr>
                <w:b/>
                <w:color w:val="FFFFFF"/>
                <w:sz w:val="13"/>
              </w:rPr>
              <w:t>预期注册量</w:t>
            </w:r>
          </w:p>
        </w:tc>
      </w:tr>
      <w:tr>
        <w:tc>
          <w:tcPr>
            <w:tcW w:type="dxa" w:w="1123"/>
            <w:vAlign w:val="center"/>
            <w:shd w:fill="FFFFFF"/>
          </w:tcPr>
          <w:p>
            <w:pPr>
              <w:spacing w:line="259" w:lineRule="auto" w:after="20"/>
              <w:jc w:val="center"/>
            </w:pPr>
            <w:r>
              <w:rPr>
                <w:sz w:val="13"/>
              </w:rPr>
              <w:t>2025-02-01</w:t>
            </w:r>
          </w:p>
        </w:tc>
        <w:tc>
          <w:tcPr>
            <w:tcW w:type="dxa" w:w="1080"/>
            <w:vAlign w:val="center"/>
            <w:shd w:fill="FFFFFF"/>
          </w:tcPr>
          <w:p>
            <w:pPr>
              <w:spacing w:line="259" w:lineRule="auto" w:after="20"/>
              <w:jc w:val="center"/>
            </w:pPr>
            <w:r>
              <w:rPr>
                <w:sz w:val="13"/>
              </w:rPr>
              <w:t>500635396</w:t>
            </w:r>
          </w:p>
        </w:tc>
        <w:tc>
          <w:tcPr>
            <w:tcW w:type="dxa" w:w="1181"/>
            <w:vAlign w:val="center"/>
            <w:shd w:fill="FFFFFF"/>
          </w:tcPr>
          <w:p>
            <w:pPr>
              <w:spacing w:line="259" w:lineRule="auto" w:after="20"/>
              <w:jc w:val="center"/>
            </w:pPr>
            <w:r>
              <w:rPr>
                <w:sz w:val="13"/>
              </w:rPr>
              <w:t>9657930100</w:t>
            </w:r>
          </w:p>
        </w:tc>
        <w:tc>
          <w:tcPr>
            <w:tcW w:type="dxa" w:w="792"/>
            <w:vAlign w:val="center"/>
            <w:shd w:fill="FFFFFF"/>
          </w:tcPr>
          <w:p>
            <w:pPr>
              <w:spacing w:line="259" w:lineRule="auto" w:after="20"/>
              <w:jc w:val="center"/>
            </w:pPr>
            <w:r>
              <w:rPr>
                <w:sz w:val="13"/>
              </w:rPr>
              <w:t>2832</w:t>
            </w:r>
          </w:p>
        </w:tc>
        <w:tc>
          <w:tcPr>
            <w:tcW w:type="dxa" w:w="979"/>
            <w:vAlign w:val="center"/>
            <w:shd w:fill="FFFFFF"/>
          </w:tcPr>
          <w:p>
            <w:pPr>
              <w:spacing w:line="259" w:lineRule="auto" w:after="20"/>
              <w:jc w:val="center"/>
            </w:pPr>
            <w:r>
              <w:rPr>
                <w:sz w:val="13"/>
              </w:rPr>
              <w:t>148.09</w:t>
            </w:r>
          </w:p>
        </w:tc>
        <w:tc>
          <w:tcPr>
            <w:tcW w:type="dxa" w:w="936"/>
            <w:vAlign w:val="center"/>
            <w:shd w:fill="FFFFFF"/>
          </w:tcPr>
          <w:p>
            <w:pPr>
              <w:spacing w:line="259" w:lineRule="auto" w:after="20"/>
              <w:jc w:val="center"/>
            </w:pPr>
            <w:r>
              <w:rPr>
                <w:sz w:val="13"/>
              </w:rPr>
              <w:t>3.42</w:t>
            </w:r>
          </w:p>
        </w:tc>
        <w:tc>
          <w:tcPr>
            <w:tcW w:type="dxa" w:w="1037"/>
            <w:vAlign w:val="center"/>
            <w:shd w:fill="FFFFFF"/>
          </w:tcPr>
          <w:p>
            <w:pPr>
              <w:spacing w:line="259" w:lineRule="auto" w:after="20"/>
              <w:jc w:val="center"/>
            </w:pPr>
            <w:r>
              <w:rPr>
                <w:sz w:val="13"/>
              </w:rPr>
              <w:t>64.2</w:t>
            </w:r>
          </w:p>
        </w:tc>
        <w:tc>
          <w:tcPr>
            <w:tcW w:type="dxa" w:w="1037"/>
            <w:vAlign w:val="center"/>
            <w:shd w:fill="FFFFFF"/>
          </w:tcPr>
          <w:p>
            <w:pPr>
              <w:spacing w:line="259" w:lineRule="auto" w:after="20"/>
              <w:jc w:val="center"/>
            </w:pPr>
            <w:r>
              <w:rPr>
                <w:sz w:val="13"/>
              </w:rPr>
              <w:t>148.5</w:t>
            </w:r>
          </w:p>
        </w:tc>
        <w:tc>
          <w:tcPr>
            <w:tcW w:type="dxa" w:w="1037"/>
            <w:vAlign w:val="center"/>
            <w:shd w:fill="FFFFFF"/>
          </w:tcPr>
          <w:p>
            <w:pPr>
              <w:spacing w:line="259" w:lineRule="auto" w:after="20"/>
              <w:jc w:val="center"/>
            </w:pPr>
            <w:r>
              <w:rPr>
                <w:sz w:val="13"/>
              </w:rPr>
              <w:t>8.83</w:t>
            </w:r>
          </w:p>
        </w:tc>
      </w:tr>
      <w:tr>
        <w:tc>
          <w:tcPr>
            <w:tcW w:type="dxa" w:w="1123"/>
            <w:vAlign w:val="center"/>
            <w:shd w:fill="F3F7FC"/>
          </w:tcPr>
          <w:p>
            <w:pPr>
              <w:spacing w:line="259" w:lineRule="auto" w:after="20"/>
              <w:jc w:val="center"/>
            </w:pPr>
            <w:r>
              <w:rPr>
                <w:sz w:val="13"/>
              </w:rPr>
              <w:t>2025-02-01</w:t>
            </w:r>
          </w:p>
        </w:tc>
        <w:tc>
          <w:tcPr>
            <w:tcW w:type="dxa" w:w="1080"/>
            <w:vAlign w:val="center"/>
            <w:shd w:fill="F3F7FC"/>
          </w:tcPr>
          <w:p>
            <w:pPr>
              <w:spacing w:line="259" w:lineRule="auto" w:after="20"/>
              <w:jc w:val="center"/>
            </w:pPr>
            <w:r>
              <w:rPr>
                <w:sz w:val="13"/>
              </w:rPr>
              <w:t>500635396</w:t>
            </w:r>
          </w:p>
        </w:tc>
        <w:tc>
          <w:tcPr>
            <w:tcW w:type="dxa" w:w="1181"/>
            <w:vAlign w:val="center"/>
            <w:shd w:fill="F3F7FC"/>
          </w:tcPr>
          <w:p>
            <w:pPr>
              <w:spacing w:line="259" w:lineRule="auto" w:after="20"/>
              <w:jc w:val="center"/>
            </w:pPr>
            <w:r>
              <w:rPr>
                <w:sz w:val="13"/>
              </w:rPr>
              <w:t>9657930100</w:t>
            </w:r>
          </w:p>
        </w:tc>
        <w:tc>
          <w:tcPr>
            <w:tcW w:type="dxa" w:w="792"/>
            <w:vAlign w:val="center"/>
            <w:shd w:fill="F3F7FC"/>
          </w:tcPr>
          <w:p>
            <w:pPr>
              <w:spacing w:line="259" w:lineRule="auto" w:after="20"/>
              <w:jc w:val="center"/>
            </w:pPr>
            <w:r>
              <w:rPr>
                <w:sz w:val="13"/>
              </w:rPr>
              <w:t>5553</w:t>
            </w:r>
          </w:p>
        </w:tc>
        <w:tc>
          <w:tcPr>
            <w:tcW w:type="dxa" w:w="979"/>
            <w:vAlign w:val="center"/>
            <w:shd w:fill="F3F7FC"/>
          </w:tcPr>
          <w:p>
            <w:pPr>
              <w:spacing w:line="259" w:lineRule="auto" w:after="20"/>
              <w:jc w:val="center"/>
            </w:pPr>
            <w:r>
              <w:rPr>
                <w:sz w:val="13"/>
              </w:rPr>
              <w:t>64.62</w:t>
            </w:r>
          </w:p>
        </w:tc>
        <w:tc>
          <w:tcPr>
            <w:tcW w:type="dxa" w:w="936"/>
            <w:vAlign w:val="center"/>
            <w:shd w:fill="F3F7FC"/>
          </w:tcPr>
          <w:p>
            <w:pPr>
              <w:spacing w:line="259" w:lineRule="auto" w:after="20"/>
              <w:jc w:val="center"/>
            </w:pPr>
            <w:r>
              <w:rPr>
                <w:sz w:val="13"/>
              </w:rPr>
              <w:t>3.42</w:t>
            </w:r>
          </w:p>
        </w:tc>
        <w:tc>
          <w:tcPr>
            <w:tcW w:type="dxa" w:w="1037"/>
            <w:vAlign w:val="center"/>
            <w:shd w:fill="F3F7FC"/>
          </w:tcPr>
          <w:p>
            <w:pPr>
              <w:spacing w:line="259" w:lineRule="auto" w:after="20"/>
              <w:jc w:val="center"/>
            </w:pPr>
            <w:r>
              <w:rPr>
                <w:sz w:val="13"/>
              </w:rPr>
              <w:t>44.3</w:t>
            </w:r>
          </w:p>
        </w:tc>
        <w:tc>
          <w:tcPr>
            <w:tcW w:type="dxa" w:w="1037"/>
            <w:vAlign w:val="center"/>
            <w:shd w:fill="F3F7FC"/>
          </w:tcPr>
          <w:p>
            <w:pPr>
              <w:spacing w:line="259" w:lineRule="auto" w:after="20"/>
              <w:jc w:val="center"/>
            </w:pPr>
            <w:r>
              <w:rPr>
                <w:sz w:val="13"/>
              </w:rPr>
              <w:t>86.5</w:t>
            </w:r>
          </w:p>
        </w:tc>
        <w:tc>
          <w:tcPr>
            <w:tcW w:type="dxa" w:w="1037"/>
            <w:vAlign w:val="center"/>
            <w:shd w:fill="F3F7FC"/>
          </w:tcPr>
          <w:p>
            <w:pPr>
              <w:spacing w:line="259" w:lineRule="auto" w:after="20"/>
              <w:jc w:val="center"/>
            </w:pPr>
            <w:r>
              <w:rPr>
                <w:sz w:val="13"/>
              </w:rPr>
              <w:t>6.09</w:t>
            </w:r>
          </w:p>
        </w:tc>
      </w:tr>
      <w:tr>
        <w:tc>
          <w:tcPr>
            <w:tcW w:type="dxa" w:w="1123"/>
            <w:vAlign w:val="center"/>
            <w:shd w:fill="FFFFFF"/>
          </w:tcPr>
          <w:p>
            <w:pPr>
              <w:spacing w:line="259" w:lineRule="auto" w:after="20"/>
              <w:jc w:val="center"/>
            </w:pPr>
            <w:r>
              <w:rPr>
                <w:sz w:val="13"/>
              </w:rPr>
              <w:t>2025-02-01</w:t>
            </w:r>
          </w:p>
        </w:tc>
        <w:tc>
          <w:tcPr>
            <w:tcW w:type="dxa" w:w="1080"/>
            <w:vAlign w:val="center"/>
            <w:shd w:fill="FFFFFF"/>
          </w:tcPr>
          <w:p>
            <w:pPr>
              <w:spacing w:line="259" w:lineRule="auto" w:after="20"/>
              <w:jc w:val="center"/>
            </w:pPr>
            <w:r>
              <w:rPr>
                <w:sz w:val="13"/>
              </w:rPr>
              <w:t>495403620</w:t>
            </w:r>
          </w:p>
        </w:tc>
        <w:tc>
          <w:tcPr>
            <w:tcW w:type="dxa" w:w="1181"/>
            <w:vAlign w:val="center"/>
            <w:shd w:fill="FFFFFF"/>
          </w:tcPr>
          <w:p>
            <w:pPr>
              <w:spacing w:line="259" w:lineRule="auto" w:after="20"/>
              <w:jc w:val="center"/>
            </w:pPr>
            <w:r>
              <w:rPr>
                <w:sz w:val="13"/>
              </w:rPr>
              <w:t>9628223555</w:t>
            </w:r>
          </w:p>
        </w:tc>
        <w:tc>
          <w:tcPr>
            <w:tcW w:type="dxa" w:w="792"/>
            <w:vAlign w:val="center"/>
            <w:shd w:fill="FFFFFF"/>
          </w:tcPr>
          <w:p>
            <w:pPr>
              <w:spacing w:line="259" w:lineRule="auto" w:after="20"/>
              <w:jc w:val="center"/>
            </w:pPr>
            <w:r>
              <w:rPr>
                <w:sz w:val="13"/>
              </w:rPr>
              <w:t>2541</w:t>
            </w:r>
          </w:p>
        </w:tc>
        <w:tc>
          <w:tcPr>
            <w:tcW w:type="dxa" w:w="979"/>
            <w:vAlign w:val="center"/>
            <w:shd w:fill="FFFFFF"/>
          </w:tcPr>
          <w:p>
            <w:pPr>
              <w:spacing w:line="259" w:lineRule="auto" w:after="20"/>
              <w:jc w:val="center"/>
            </w:pPr>
            <w:r>
              <w:rPr>
                <w:sz w:val="13"/>
              </w:rPr>
              <w:t>55.95</w:t>
            </w:r>
          </w:p>
        </w:tc>
        <w:tc>
          <w:tcPr>
            <w:tcW w:type="dxa" w:w="936"/>
            <w:vAlign w:val="center"/>
            <w:shd w:fill="FFFFFF"/>
          </w:tcPr>
          <w:p>
            <w:pPr>
              <w:spacing w:line="259" w:lineRule="auto" w:after="20"/>
              <w:jc w:val="center"/>
            </w:pPr>
            <w:r>
              <w:rPr>
                <w:sz w:val="13"/>
              </w:rPr>
              <w:t>2.66</w:t>
            </w:r>
          </w:p>
        </w:tc>
        <w:tc>
          <w:tcPr>
            <w:tcW w:type="dxa" w:w="1037"/>
            <w:vAlign w:val="center"/>
            <w:shd w:fill="FFFFFF"/>
          </w:tcPr>
          <w:p>
            <w:pPr>
              <w:spacing w:line="259" w:lineRule="auto" w:after="20"/>
              <w:jc w:val="center"/>
            </w:pPr>
            <w:r>
              <w:rPr>
                <w:sz w:val="13"/>
              </w:rPr>
              <w:t>28.9</w:t>
            </w:r>
          </w:p>
        </w:tc>
        <w:tc>
          <w:tcPr>
            <w:tcW w:type="dxa" w:w="1037"/>
            <w:vAlign w:val="center"/>
            <w:shd w:fill="FFFFFF"/>
          </w:tcPr>
          <w:p>
            <w:pPr>
              <w:spacing w:line="259" w:lineRule="auto" w:after="20"/>
              <w:jc w:val="center"/>
            </w:pPr>
            <w:r>
              <w:rPr>
                <w:sz w:val="13"/>
              </w:rPr>
              <w:t>84.4</w:t>
            </w:r>
          </w:p>
        </w:tc>
        <w:tc>
          <w:tcPr>
            <w:tcW w:type="dxa" w:w="1037"/>
            <w:vAlign w:val="center"/>
            <w:shd w:fill="FFFFFF"/>
          </w:tcPr>
          <w:p>
            <w:pPr>
              <w:spacing w:line="259" w:lineRule="auto" w:after="20"/>
              <w:jc w:val="center"/>
            </w:pPr>
            <w:r>
              <w:rPr>
                <w:sz w:val="13"/>
              </w:rPr>
              <w:t>3.97</w:t>
            </w:r>
          </w:p>
        </w:tc>
      </w:tr>
      <w:tr>
        <w:tc>
          <w:tcPr>
            <w:tcW w:type="dxa" w:w="1123"/>
            <w:vAlign w:val="center"/>
            <w:shd w:fill="F3F7FC"/>
          </w:tcPr>
          <w:p>
            <w:pPr>
              <w:spacing w:line="259" w:lineRule="auto" w:after="20"/>
              <w:jc w:val="center"/>
            </w:pPr>
            <w:r>
              <w:rPr>
                <w:sz w:val="13"/>
              </w:rPr>
              <w:t>2025-02-01</w:t>
            </w:r>
          </w:p>
        </w:tc>
        <w:tc>
          <w:tcPr>
            <w:tcW w:type="dxa" w:w="1080"/>
            <w:vAlign w:val="center"/>
            <w:shd w:fill="F3F7FC"/>
          </w:tcPr>
          <w:p>
            <w:pPr>
              <w:spacing w:line="259" w:lineRule="auto" w:after="20"/>
              <w:jc w:val="center"/>
            </w:pPr>
            <w:r>
              <w:rPr>
                <w:sz w:val="13"/>
              </w:rPr>
              <w:t>500635396</w:t>
            </w:r>
          </w:p>
        </w:tc>
        <w:tc>
          <w:tcPr>
            <w:tcW w:type="dxa" w:w="1181"/>
            <w:vAlign w:val="center"/>
            <w:shd w:fill="F3F7FC"/>
          </w:tcPr>
          <w:p>
            <w:pPr>
              <w:spacing w:line="259" w:lineRule="auto" w:after="20"/>
              <w:jc w:val="center"/>
            </w:pPr>
            <w:r>
              <w:rPr>
                <w:sz w:val="13"/>
              </w:rPr>
              <w:t>9657930100</w:t>
            </w:r>
          </w:p>
        </w:tc>
        <w:tc>
          <w:tcPr>
            <w:tcW w:type="dxa" w:w="792"/>
            <w:vAlign w:val="center"/>
            <w:shd w:fill="F3F7FC"/>
          </w:tcPr>
          <w:p>
            <w:pPr>
              <w:spacing w:line="259" w:lineRule="auto" w:after="20"/>
              <w:jc w:val="center"/>
            </w:pPr>
            <w:r>
              <w:rPr>
                <w:sz w:val="13"/>
              </w:rPr>
              <w:t>4536</w:t>
            </w:r>
          </w:p>
        </w:tc>
        <w:tc>
          <w:tcPr>
            <w:tcW w:type="dxa" w:w="979"/>
            <w:vAlign w:val="center"/>
            <w:shd w:fill="F3F7FC"/>
          </w:tcPr>
          <w:p>
            <w:pPr>
              <w:spacing w:line="259" w:lineRule="auto" w:after="20"/>
              <w:jc w:val="center"/>
            </w:pPr>
            <w:r>
              <w:rPr>
                <w:sz w:val="13"/>
              </w:rPr>
              <w:t>43.31</w:t>
            </w:r>
          </w:p>
        </w:tc>
        <w:tc>
          <w:tcPr>
            <w:tcW w:type="dxa" w:w="936"/>
            <w:vAlign w:val="center"/>
            <w:shd w:fill="F3F7FC"/>
          </w:tcPr>
          <w:p>
            <w:pPr>
              <w:spacing w:line="259" w:lineRule="auto" w:after="20"/>
              <w:jc w:val="center"/>
            </w:pPr>
            <w:r>
              <w:rPr>
                <w:sz w:val="13"/>
              </w:rPr>
              <w:t>3.42</w:t>
            </w:r>
          </w:p>
        </w:tc>
        <w:tc>
          <w:tcPr>
            <w:tcW w:type="dxa" w:w="1037"/>
            <w:vAlign w:val="center"/>
            <w:shd w:fill="F3F7FC"/>
          </w:tcPr>
          <w:p>
            <w:pPr>
              <w:spacing w:line="259" w:lineRule="auto" w:after="20"/>
              <w:jc w:val="center"/>
            </w:pPr>
            <w:r>
              <w:rPr>
                <w:sz w:val="13"/>
              </w:rPr>
              <w:t>20.0</w:t>
            </w:r>
          </w:p>
        </w:tc>
        <w:tc>
          <w:tcPr>
            <w:tcW w:type="dxa" w:w="1037"/>
            <w:vAlign w:val="center"/>
            <w:shd w:fill="F3F7FC"/>
          </w:tcPr>
          <w:p>
            <w:pPr>
              <w:spacing w:line="259" w:lineRule="auto" w:after="20"/>
              <w:jc w:val="center"/>
            </w:pPr>
            <w:r>
              <w:rPr>
                <w:sz w:val="13"/>
              </w:rPr>
              <w:t>44.7</w:t>
            </w:r>
          </w:p>
        </w:tc>
        <w:tc>
          <w:tcPr>
            <w:tcW w:type="dxa" w:w="1037"/>
            <w:vAlign w:val="center"/>
            <w:shd w:fill="F3F7FC"/>
          </w:tcPr>
          <w:p>
            <w:pPr>
              <w:spacing w:line="259" w:lineRule="auto" w:after="20"/>
              <w:jc w:val="center"/>
            </w:pPr>
            <w:r>
              <w:rPr>
                <w:sz w:val="13"/>
              </w:rPr>
              <w:t>2.74</w:t>
            </w:r>
          </w:p>
        </w:tc>
      </w:tr>
      <w:tr>
        <w:tc>
          <w:tcPr>
            <w:tcW w:type="dxa" w:w="1123"/>
            <w:vAlign w:val="center"/>
            <w:shd w:fill="FFFFFF"/>
          </w:tcPr>
          <w:p>
            <w:pPr>
              <w:spacing w:line="259" w:lineRule="auto" w:after="20"/>
              <w:jc w:val="center"/>
            </w:pPr>
            <w:r>
              <w:rPr>
                <w:sz w:val="13"/>
              </w:rPr>
              <w:t>2025-02-01</w:t>
            </w:r>
          </w:p>
        </w:tc>
        <w:tc>
          <w:tcPr>
            <w:tcW w:type="dxa" w:w="1080"/>
            <w:vAlign w:val="center"/>
            <w:shd w:fill="FFFFFF"/>
          </w:tcPr>
          <w:p>
            <w:pPr>
              <w:spacing w:line="259" w:lineRule="auto" w:after="20"/>
              <w:jc w:val="center"/>
            </w:pPr>
            <w:r>
              <w:rPr>
                <w:sz w:val="13"/>
              </w:rPr>
              <w:t>500635396</w:t>
            </w:r>
          </w:p>
        </w:tc>
        <w:tc>
          <w:tcPr>
            <w:tcW w:type="dxa" w:w="1181"/>
            <w:vAlign w:val="center"/>
            <w:shd w:fill="FFFFFF"/>
          </w:tcPr>
          <w:p>
            <w:pPr>
              <w:spacing w:line="259" w:lineRule="auto" w:after="20"/>
              <w:jc w:val="center"/>
            </w:pPr>
            <w:r>
              <w:rPr>
                <w:sz w:val="13"/>
              </w:rPr>
              <w:t>9657930100</w:t>
            </w:r>
          </w:p>
        </w:tc>
        <w:tc>
          <w:tcPr>
            <w:tcW w:type="dxa" w:w="792"/>
            <w:vAlign w:val="center"/>
            <w:shd w:fill="FFFFFF"/>
          </w:tcPr>
          <w:p>
            <w:pPr>
              <w:spacing w:line="259" w:lineRule="auto" w:after="20"/>
              <w:jc w:val="center"/>
            </w:pPr>
            <w:r>
              <w:rPr>
                <w:sz w:val="13"/>
              </w:rPr>
              <w:t>5573</w:t>
            </w:r>
          </w:p>
        </w:tc>
        <w:tc>
          <w:tcPr>
            <w:tcW w:type="dxa" w:w="979"/>
            <w:vAlign w:val="center"/>
            <w:shd w:fill="FFFFFF"/>
          </w:tcPr>
          <w:p>
            <w:pPr>
              <w:spacing w:line="259" w:lineRule="auto" w:after="20"/>
              <w:jc w:val="center"/>
            </w:pPr>
            <w:r>
              <w:rPr>
                <w:sz w:val="13"/>
              </w:rPr>
              <w:t>30.31</w:t>
            </w:r>
          </w:p>
        </w:tc>
        <w:tc>
          <w:tcPr>
            <w:tcW w:type="dxa" w:w="936"/>
            <w:vAlign w:val="center"/>
            <w:shd w:fill="FFFFFF"/>
          </w:tcPr>
          <w:p>
            <w:pPr>
              <w:spacing w:line="259" w:lineRule="auto" w:after="20"/>
              <w:jc w:val="center"/>
            </w:pPr>
            <w:r>
              <w:rPr>
                <w:sz w:val="13"/>
              </w:rPr>
              <w:t>3.42</w:t>
            </w:r>
          </w:p>
        </w:tc>
        <w:tc>
          <w:tcPr>
            <w:tcW w:type="dxa" w:w="1037"/>
            <w:vAlign w:val="center"/>
            <w:shd w:fill="FFFFFF"/>
          </w:tcPr>
          <w:p>
            <w:pPr>
              <w:spacing w:line="259" w:lineRule="auto" w:after="20"/>
              <w:jc w:val="center"/>
            </w:pPr>
            <w:r>
              <w:rPr>
                <w:sz w:val="13"/>
              </w:rPr>
              <w:t>28.6</w:t>
            </w:r>
          </w:p>
        </w:tc>
        <w:tc>
          <w:tcPr>
            <w:tcW w:type="dxa" w:w="1037"/>
            <w:vAlign w:val="center"/>
            <w:shd w:fill="FFFFFF"/>
          </w:tcPr>
          <w:p>
            <w:pPr>
              <w:spacing w:line="259" w:lineRule="auto" w:after="20"/>
              <w:jc w:val="center"/>
            </w:pPr>
            <w:r>
              <w:rPr>
                <w:sz w:val="13"/>
              </w:rPr>
              <w:t>28.4</w:t>
            </w:r>
          </w:p>
        </w:tc>
        <w:tc>
          <w:tcPr>
            <w:tcW w:type="dxa" w:w="1037"/>
            <w:vAlign w:val="center"/>
            <w:shd w:fill="FFFFFF"/>
          </w:tcPr>
          <w:p>
            <w:pPr>
              <w:spacing w:line="259" w:lineRule="auto" w:after="20"/>
              <w:jc w:val="center"/>
            </w:pPr>
            <w:r>
              <w:rPr>
                <w:sz w:val="13"/>
              </w:rPr>
              <w:t>3.92</w:t>
            </w:r>
          </w:p>
        </w:tc>
      </w:tr>
      <w:tr>
        <w:tc>
          <w:tcPr>
            <w:tcW w:type="dxa" w:w="1123"/>
            <w:vAlign w:val="center"/>
            <w:shd w:fill="F3F7FC"/>
          </w:tcPr>
          <w:p>
            <w:pPr>
              <w:spacing w:line="259" w:lineRule="auto" w:after="20"/>
              <w:jc w:val="center"/>
            </w:pPr>
            <w:r>
              <w:rPr>
                <w:sz w:val="13"/>
              </w:rPr>
              <w:t>2025-02-01</w:t>
            </w:r>
          </w:p>
        </w:tc>
        <w:tc>
          <w:tcPr>
            <w:tcW w:type="dxa" w:w="1080"/>
            <w:vAlign w:val="center"/>
            <w:shd w:fill="F3F7FC"/>
          </w:tcPr>
          <w:p>
            <w:pPr>
              <w:spacing w:line="259" w:lineRule="auto" w:after="20"/>
              <w:jc w:val="center"/>
            </w:pPr>
            <w:r>
              <w:rPr>
                <w:sz w:val="13"/>
              </w:rPr>
              <w:t>500635396</w:t>
            </w:r>
          </w:p>
        </w:tc>
        <w:tc>
          <w:tcPr>
            <w:tcW w:type="dxa" w:w="1181"/>
            <w:vAlign w:val="center"/>
            <w:shd w:fill="F3F7FC"/>
          </w:tcPr>
          <w:p>
            <w:pPr>
              <w:spacing w:line="259" w:lineRule="auto" w:after="20"/>
              <w:jc w:val="center"/>
            </w:pPr>
            <w:r>
              <w:rPr>
                <w:sz w:val="13"/>
              </w:rPr>
              <w:t>9657930100</w:t>
            </w:r>
          </w:p>
        </w:tc>
        <w:tc>
          <w:tcPr>
            <w:tcW w:type="dxa" w:w="792"/>
            <w:vAlign w:val="center"/>
            <w:shd w:fill="F3F7FC"/>
          </w:tcPr>
          <w:p>
            <w:pPr>
              <w:spacing w:line="259" w:lineRule="auto" w:after="20"/>
              <w:jc w:val="center"/>
            </w:pPr>
            <w:r>
              <w:rPr>
                <w:sz w:val="13"/>
              </w:rPr>
              <w:t>6452</w:t>
            </w:r>
          </w:p>
        </w:tc>
        <w:tc>
          <w:tcPr>
            <w:tcW w:type="dxa" w:w="979"/>
            <w:vAlign w:val="center"/>
            <w:shd w:fill="F3F7FC"/>
          </w:tcPr>
          <w:p>
            <w:pPr>
              <w:spacing w:line="259" w:lineRule="auto" w:after="20"/>
              <w:jc w:val="center"/>
            </w:pPr>
            <w:r>
              <w:rPr>
                <w:sz w:val="13"/>
              </w:rPr>
              <w:t>30.31</w:t>
            </w:r>
          </w:p>
        </w:tc>
        <w:tc>
          <w:tcPr>
            <w:tcW w:type="dxa" w:w="936"/>
            <w:vAlign w:val="center"/>
            <w:shd w:fill="F3F7FC"/>
          </w:tcPr>
          <w:p>
            <w:pPr>
              <w:spacing w:line="259" w:lineRule="auto" w:after="20"/>
              <w:jc w:val="center"/>
            </w:pPr>
            <w:r>
              <w:rPr>
                <w:sz w:val="13"/>
              </w:rPr>
              <w:t>3.42</w:t>
            </w:r>
          </w:p>
        </w:tc>
        <w:tc>
          <w:tcPr>
            <w:tcW w:type="dxa" w:w="1037"/>
            <w:vAlign w:val="center"/>
            <w:shd w:fill="F3F7FC"/>
          </w:tcPr>
          <w:p>
            <w:pPr>
              <w:spacing w:line="259" w:lineRule="auto" w:after="20"/>
              <w:jc w:val="center"/>
            </w:pPr>
            <w:r>
              <w:rPr>
                <w:sz w:val="13"/>
              </w:rPr>
              <w:t>18.1</w:t>
            </w:r>
          </w:p>
        </w:tc>
        <w:tc>
          <w:tcPr>
            <w:tcW w:type="dxa" w:w="1037"/>
            <w:vAlign w:val="center"/>
            <w:shd w:fill="F3F7FC"/>
          </w:tcPr>
          <w:p>
            <w:pPr>
              <w:spacing w:line="259" w:lineRule="auto" w:after="20"/>
              <w:jc w:val="center"/>
            </w:pPr>
            <w:r>
              <w:rPr>
                <w:sz w:val="13"/>
              </w:rPr>
              <w:t>14.5</w:t>
            </w:r>
          </w:p>
        </w:tc>
        <w:tc>
          <w:tcPr>
            <w:tcW w:type="dxa" w:w="1037"/>
            <w:vAlign w:val="center"/>
            <w:shd w:fill="F3F7FC"/>
          </w:tcPr>
          <w:p>
            <w:pPr>
              <w:spacing w:line="259" w:lineRule="auto" w:after="20"/>
              <w:jc w:val="center"/>
            </w:pPr>
            <w:r>
              <w:rPr>
                <w:sz w:val="13"/>
              </w:rPr>
              <w:t>2.49</w:t>
            </w:r>
          </w:p>
        </w:tc>
      </w:tr>
    </w:tbl>
    <w:p>
      <w:pPr>
        <w:spacing w:after="0"/>
      </w:pPr>
    </w:p>
    <w:p>
      <w:pPr>
        <w:pStyle w:val="Heading3"/>
      </w:pPr>
      <w:r>
        <w:t>2025年08月01日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10"/>
        <w:gridCol w:w="1110"/>
        <w:gridCol w:w="1110"/>
        <w:gridCol w:w="1110"/>
        <w:gridCol w:w="1110"/>
        <w:gridCol w:w="1110"/>
        <w:gridCol w:w="1110"/>
        <w:gridCol w:w="1110"/>
        <w:gridCol w:w="1110"/>
      </w:tblGrid>
      <w:tr>
        <w:trPr>
          <w:tblHeader w:val="true"/>
        </w:trPr>
        <w:tc>
          <w:tcPr>
            <w:tcW w:type="dxa" w:w="1123"/>
            <w:shd w:fill="173B67"/>
            <w:vAlign w:val="center"/>
          </w:tcPr>
          <w:p>
            <w:pPr>
              <w:jc w:val="center"/>
            </w:pPr>
            <w:r>
              <w:rPr>
                <w:b/>
                <w:color w:val="FFFFFF"/>
                <w:sz w:val="13"/>
              </w:rPr>
              <w:t>日期</w:t>
            </w:r>
          </w:p>
        </w:tc>
        <w:tc>
          <w:tcPr>
            <w:tcW w:type="dxa" w:w="1080"/>
            <w:shd w:fill="173B67"/>
            <w:vAlign w:val="center"/>
          </w:tcPr>
          <w:p>
            <w:pPr>
              <w:jc w:val="center"/>
            </w:pPr>
            <w:r>
              <w:rPr>
                <w:b/>
                <w:color w:val="FFFFFF"/>
                <w:sz w:val="13"/>
              </w:rPr>
              <w:t>方案ID</w:t>
            </w:r>
          </w:p>
        </w:tc>
        <w:tc>
          <w:tcPr>
            <w:tcW w:type="dxa" w:w="1181"/>
            <w:shd w:fill="173B67"/>
            <w:vAlign w:val="center"/>
          </w:tcPr>
          <w:p>
            <w:pPr>
              <w:jc w:val="center"/>
            </w:pPr>
            <w:r>
              <w:rPr>
                <w:b/>
                <w:color w:val="FFFFFF"/>
                <w:sz w:val="13"/>
              </w:rPr>
              <w:t>推广单元</w:t>
            </w:r>
          </w:p>
        </w:tc>
        <w:tc>
          <w:tcPr>
            <w:tcW w:type="dxa" w:w="792"/>
            <w:shd w:fill="173B67"/>
            <w:vAlign w:val="center"/>
          </w:tcPr>
          <w:p>
            <w:pPr>
              <w:jc w:val="center"/>
            </w:pPr>
            <w:r>
              <w:rPr>
                <w:b/>
                <w:color w:val="FFFFFF"/>
                <w:sz w:val="13"/>
              </w:rPr>
              <w:t>关键词</w:t>
            </w:r>
          </w:p>
        </w:tc>
        <w:tc>
          <w:tcPr>
            <w:tcW w:type="dxa" w:w="979"/>
            <w:shd w:fill="173B67"/>
            <w:vAlign w:val="center"/>
          </w:tcPr>
          <w:p>
            <w:pPr>
              <w:jc w:val="center"/>
            </w:pPr>
            <w:r>
              <w:rPr>
                <w:b/>
                <w:color w:val="FFFFFF"/>
                <w:sz w:val="13"/>
              </w:rPr>
              <w:t>投入金额</w:t>
            </w:r>
          </w:p>
        </w:tc>
        <w:tc>
          <w:tcPr>
            <w:tcW w:type="dxa" w:w="936"/>
            <w:shd w:fill="173B67"/>
            <w:vAlign w:val="center"/>
          </w:tcPr>
          <w:p>
            <w:pPr>
              <w:jc w:val="center"/>
            </w:pPr>
            <w:r>
              <w:rPr>
                <w:b/>
                <w:color w:val="FFFFFF"/>
                <w:sz w:val="13"/>
              </w:rPr>
              <w:t>预期展位</w:t>
            </w:r>
          </w:p>
        </w:tc>
        <w:tc>
          <w:tcPr>
            <w:tcW w:type="dxa" w:w="1037"/>
            <w:shd w:fill="173B67"/>
            <w:vAlign w:val="center"/>
          </w:tcPr>
          <w:p>
            <w:pPr>
              <w:jc w:val="center"/>
            </w:pPr>
            <w:r>
              <w:rPr>
                <w:b/>
                <w:color w:val="FFFFFF"/>
                <w:sz w:val="13"/>
              </w:rPr>
              <w:t>预期点击量</w:t>
            </w:r>
          </w:p>
        </w:tc>
        <w:tc>
          <w:tcPr>
            <w:tcW w:type="dxa" w:w="1037"/>
            <w:shd w:fill="173B67"/>
            <w:vAlign w:val="center"/>
          </w:tcPr>
          <w:p>
            <w:pPr>
              <w:jc w:val="center"/>
            </w:pPr>
            <w:r>
              <w:rPr>
                <w:b/>
                <w:color w:val="FFFFFF"/>
                <w:sz w:val="13"/>
              </w:rPr>
              <w:t>预期浏览量</w:t>
            </w:r>
          </w:p>
        </w:tc>
        <w:tc>
          <w:tcPr>
            <w:tcW w:type="dxa" w:w="1037"/>
            <w:shd w:fill="173B67"/>
            <w:vAlign w:val="center"/>
          </w:tcPr>
          <w:p>
            <w:pPr>
              <w:jc w:val="center"/>
            </w:pPr>
            <w:r>
              <w:rPr>
                <w:b/>
                <w:color w:val="FFFFFF"/>
                <w:sz w:val="13"/>
              </w:rPr>
              <w:t>预期注册量</w:t>
            </w:r>
          </w:p>
        </w:tc>
      </w:tr>
      <w:tr>
        <w:tc>
          <w:tcPr>
            <w:tcW w:type="dxa" w:w="1123"/>
            <w:vAlign w:val="center"/>
            <w:shd w:fill="FFFFFF"/>
          </w:tcPr>
          <w:p>
            <w:pPr>
              <w:spacing w:line="259" w:lineRule="auto" w:after="20"/>
              <w:jc w:val="center"/>
            </w:pPr>
            <w:r>
              <w:rPr>
                <w:sz w:val="13"/>
              </w:rPr>
              <w:t>2025-08-01</w:t>
            </w:r>
          </w:p>
        </w:tc>
        <w:tc>
          <w:tcPr>
            <w:tcW w:type="dxa" w:w="1080"/>
            <w:vAlign w:val="center"/>
            <w:shd w:fill="FFFFFF"/>
          </w:tcPr>
          <w:p>
            <w:pPr>
              <w:spacing w:line="259" w:lineRule="auto" w:after="20"/>
              <w:jc w:val="center"/>
            </w:pPr>
            <w:r>
              <w:rPr>
                <w:sz w:val="13"/>
              </w:rPr>
              <w:t>500635396</w:t>
            </w:r>
          </w:p>
        </w:tc>
        <w:tc>
          <w:tcPr>
            <w:tcW w:type="dxa" w:w="1181"/>
            <w:vAlign w:val="center"/>
            <w:shd w:fill="FFFFFF"/>
          </w:tcPr>
          <w:p>
            <w:pPr>
              <w:spacing w:line="259" w:lineRule="auto" w:after="20"/>
              <w:jc w:val="center"/>
            </w:pPr>
            <w:r>
              <w:rPr>
                <w:sz w:val="13"/>
              </w:rPr>
              <w:t>9657930100</w:t>
            </w:r>
          </w:p>
        </w:tc>
        <w:tc>
          <w:tcPr>
            <w:tcW w:type="dxa" w:w="792"/>
            <w:vAlign w:val="center"/>
            <w:shd w:fill="FFFFFF"/>
          </w:tcPr>
          <w:p>
            <w:pPr>
              <w:spacing w:line="259" w:lineRule="auto" w:after="20"/>
              <w:jc w:val="center"/>
            </w:pPr>
            <w:r>
              <w:rPr>
                <w:sz w:val="13"/>
              </w:rPr>
              <w:t>2832</w:t>
            </w:r>
          </w:p>
        </w:tc>
        <w:tc>
          <w:tcPr>
            <w:tcW w:type="dxa" w:w="979"/>
            <w:vAlign w:val="center"/>
            <w:shd w:fill="FFFFFF"/>
          </w:tcPr>
          <w:p>
            <w:pPr>
              <w:spacing w:line="259" w:lineRule="auto" w:after="20"/>
              <w:jc w:val="center"/>
            </w:pPr>
            <w:r>
              <w:rPr>
                <w:sz w:val="13"/>
              </w:rPr>
              <w:t>768.08</w:t>
            </w:r>
          </w:p>
        </w:tc>
        <w:tc>
          <w:tcPr>
            <w:tcW w:type="dxa" w:w="936"/>
            <w:vAlign w:val="center"/>
            <w:shd w:fill="FFFFFF"/>
          </w:tcPr>
          <w:p>
            <w:pPr>
              <w:spacing w:line="259" w:lineRule="auto" w:after="20"/>
              <w:jc w:val="center"/>
            </w:pPr>
            <w:r>
              <w:rPr>
                <w:sz w:val="13"/>
              </w:rPr>
              <w:t>3.30</w:t>
            </w:r>
          </w:p>
        </w:tc>
        <w:tc>
          <w:tcPr>
            <w:tcW w:type="dxa" w:w="1037"/>
            <w:vAlign w:val="center"/>
            <w:shd w:fill="FFFFFF"/>
          </w:tcPr>
          <w:p>
            <w:pPr>
              <w:spacing w:line="259" w:lineRule="auto" w:after="20"/>
              <w:jc w:val="center"/>
            </w:pPr>
            <w:r>
              <w:rPr>
                <w:sz w:val="13"/>
              </w:rPr>
              <w:t>583.2</w:t>
            </w:r>
          </w:p>
        </w:tc>
        <w:tc>
          <w:tcPr>
            <w:tcW w:type="dxa" w:w="1037"/>
            <w:vAlign w:val="center"/>
            <w:shd w:fill="FFFFFF"/>
          </w:tcPr>
          <w:p>
            <w:pPr>
              <w:spacing w:line="259" w:lineRule="auto" w:after="20"/>
              <w:jc w:val="center"/>
            </w:pPr>
            <w:r>
              <w:rPr>
                <w:sz w:val="13"/>
              </w:rPr>
              <w:t>1348.3</w:t>
            </w:r>
          </w:p>
        </w:tc>
        <w:tc>
          <w:tcPr>
            <w:tcW w:type="dxa" w:w="1037"/>
            <w:vAlign w:val="center"/>
            <w:shd w:fill="FFFFFF"/>
          </w:tcPr>
          <w:p>
            <w:pPr>
              <w:spacing w:line="259" w:lineRule="auto" w:after="20"/>
              <w:jc w:val="center"/>
            </w:pPr>
            <w:r>
              <w:rPr>
                <w:sz w:val="13"/>
              </w:rPr>
              <w:t>28.82</w:t>
            </w:r>
          </w:p>
        </w:tc>
      </w:tr>
      <w:tr>
        <w:tc>
          <w:tcPr>
            <w:tcW w:type="dxa" w:w="1123"/>
            <w:vAlign w:val="center"/>
            <w:shd w:fill="F3F7FC"/>
          </w:tcPr>
          <w:p>
            <w:pPr>
              <w:spacing w:line="259" w:lineRule="auto" w:after="20"/>
              <w:jc w:val="center"/>
            </w:pPr>
            <w:r>
              <w:rPr>
                <w:sz w:val="13"/>
              </w:rPr>
              <w:t>2025-08-01</w:t>
            </w:r>
          </w:p>
        </w:tc>
        <w:tc>
          <w:tcPr>
            <w:tcW w:type="dxa" w:w="1080"/>
            <w:vAlign w:val="center"/>
            <w:shd w:fill="F3F7FC"/>
          </w:tcPr>
          <w:p>
            <w:pPr>
              <w:spacing w:line="259" w:lineRule="auto" w:after="20"/>
              <w:jc w:val="center"/>
            </w:pPr>
            <w:r>
              <w:rPr>
                <w:sz w:val="13"/>
              </w:rPr>
              <w:t>495403620</w:t>
            </w:r>
          </w:p>
        </w:tc>
        <w:tc>
          <w:tcPr>
            <w:tcW w:type="dxa" w:w="1181"/>
            <w:vAlign w:val="center"/>
            <w:shd w:fill="F3F7FC"/>
          </w:tcPr>
          <w:p>
            <w:pPr>
              <w:spacing w:line="259" w:lineRule="auto" w:after="20"/>
              <w:jc w:val="center"/>
            </w:pPr>
            <w:r>
              <w:rPr>
                <w:sz w:val="13"/>
              </w:rPr>
              <w:t>8878077181</w:t>
            </w:r>
          </w:p>
        </w:tc>
        <w:tc>
          <w:tcPr>
            <w:tcW w:type="dxa" w:w="792"/>
            <w:vAlign w:val="center"/>
            <w:shd w:fill="F3F7FC"/>
          </w:tcPr>
          <w:p>
            <w:pPr>
              <w:spacing w:line="259" w:lineRule="auto" w:after="20"/>
              <w:jc w:val="center"/>
            </w:pPr>
            <w:r>
              <w:rPr>
                <w:sz w:val="13"/>
              </w:rPr>
              <w:t>1048</w:t>
            </w:r>
          </w:p>
        </w:tc>
        <w:tc>
          <w:tcPr>
            <w:tcW w:type="dxa" w:w="979"/>
            <w:vAlign w:val="center"/>
            <w:shd w:fill="F3F7FC"/>
          </w:tcPr>
          <w:p>
            <w:pPr>
              <w:spacing w:line="259" w:lineRule="auto" w:after="20"/>
              <w:jc w:val="center"/>
            </w:pPr>
            <w:r>
              <w:rPr>
                <w:sz w:val="13"/>
              </w:rPr>
              <w:t>664.92</w:t>
            </w:r>
          </w:p>
        </w:tc>
        <w:tc>
          <w:tcPr>
            <w:tcW w:type="dxa" w:w="936"/>
            <w:vAlign w:val="center"/>
            <w:shd w:fill="F3F7FC"/>
          </w:tcPr>
          <w:p>
            <w:pPr>
              <w:spacing w:line="259" w:lineRule="auto" w:after="20"/>
              <w:jc w:val="center"/>
            </w:pPr>
            <w:r>
              <w:rPr>
                <w:sz w:val="13"/>
              </w:rPr>
              <w:t>1.18</w:t>
            </w:r>
          </w:p>
        </w:tc>
        <w:tc>
          <w:tcPr>
            <w:tcW w:type="dxa" w:w="1037"/>
            <w:vAlign w:val="center"/>
            <w:shd w:fill="F3F7FC"/>
          </w:tcPr>
          <w:p>
            <w:pPr>
              <w:spacing w:line="259" w:lineRule="auto" w:after="20"/>
              <w:jc w:val="center"/>
            </w:pPr>
            <w:r>
              <w:rPr>
                <w:sz w:val="13"/>
              </w:rPr>
              <w:t>1609.1</w:t>
            </w:r>
          </w:p>
        </w:tc>
        <w:tc>
          <w:tcPr>
            <w:tcW w:type="dxa" w:w="1037"/>
            <w:vAlign w:val="center"/>
            <w:shd w:fill="F3F7FC"/>
          </w:tcPr>
          <w:p>
            <w:pPr>
              <w:spacing w:line="259" w:lineRule="auto" w:after="20"/>
              <w:jc w:val="center"/>
            </w:pPr>
            <w:r>
              <w:rPr>
                <w:sz w:val="13"/>
              </w:rPr>
              <w:t>16870.3</w:t>
            </w:r>
          </w:p>
        </w:tc>
        <w:tc>
          <w:tcPr>
            <w:tcW w:type="dxa" w:w="1037"/>
            <w:vAlign w:val="center"/>
            <w:shd w:fill="F3F7FC"/>
          </w:tcPr>
          <w:p>
            <w:pPr>
              <w:spacing w:line="259" w:lineRule="auto" w:after="20"/>
              <w:jc w:val="center"/>
            </w:pPr>
            <w:r>
              <w:rPr>
                <w:sz w:val="13"/>
              </w:rPr>
              <w:t>79.51</w:t>
            </w:r>
          </w:p>
        </w:tc>
      </w:tr>
      <w:tr>
        <w:tc>
          <w:tcPr>
            <w:tcW w:type="dxa" w:w="1123"/>
            <w:vAlign w:val="center"/>
            <w:shd w:fill="FFFFFF"/>
          </w:tcPr>
          <w:p>
            <w:pPr>
              <w:spacing w:line="259" w:lineRule="auto" w:after="20"/>
              <w:jc w:val="center"/>
            </w:pPr>
            <w:r>
              <w:rPr>
                <w:sz w:val="13"/>
              </w:rPr>
              <w:t>2025-08-01</w:t>
            </w:r>
          </w:p>
        </w:tc>
        <w:tc>
          <w:tcPr>
            <w:tcW w:type="dxa" w:w="1080"/>
            <w:vAlign w:val="center"/>
            <w:shd w:fill="FFFFFF"/>
          </w:tcPr>
          <w:p>
            <w:pPr>
              <w:spacing w:line="259" w:lineRule="auto" w:after="20"/>
              <w:jc w:val="center"/>
            </w:pPr>
            <w:r>
              <w:rPr>
                <w:sz w:val="13"/>
              </w:rPr>
              <w:t>500635396</w:t>
            </w:r>
          </w:p>
        </w:tc>
        <w:tc>
          <w:tcPr>
            <w:tcW w:type="dxa" w:w="1181"/>
            <w:vAlign w:val="center"/>
            <w:shd w:fill="FFFFFF"/>
          </w:tcPr>
          <w:p>
            <w:pPr>
              <w:spacing w:line="259" w:lineRule="auto" w:after="20"/>
              <w:jc w:val="center"/>
            </w:pPr>
            <w:r>
              <w:rPr>
                <w:sz w:val="13"/>
              </w:rPr>
              <w:t>9657930100</w:t>
            </w:r>
          </w:p>
        </w:tc>
        <w:tc>
          <w:tcPr>
            <w:tcW w:type="dxa" w:w="792"/>
            <w:vAlign w:val="center"/>
            <w:shd w:fill="FFFFFF"/>
          </w:tcPr>
          <w:p>
            <w:pPr>
              <w:spacing w:line="259" w:lineRule="auto" w:after="20"/>
              <w:jc w:val="center"/>
            </w:pPr>
            <w:r>
              <w:rPr>
                <w:sz w:val="13"/>
              </w:rPr>
              <w:t>5553</w:t>
            </w:r>
          </w:p>
        </w:tc>
        <w:tc>
          <w:tcPr>
            <w:tcW w:type="dxa" w:w="979"/>
            <w:vAlign w:val="center"/>
            <w:shd w:fill="FFFFFF"/>
          </w:tcPr>
          <w:p>
            <w:pPr>
              <w:spacing w:line="259" w:lineRule="auto" w:after="20"/>
              <w:jc w:val="center"/>
            </w:pPr>
            <w:r>
              <w:rPr>
                <w:sz w:val="13"/>
              </w:rPr>
              <w:t>335.13</w:t>
            </w:r>
          </w:p>
        </w:tc>
        <w:tc>
          <w:tcPr>
            <w:tcW w:type="dxa" w:w="936"/>
            <w:vAlign w:val="center"/>
            <w:shd w:fill="FFFFFF"/>
          </w:tcPr>
          <w:p>
            <w:pPr>
              <w:spacing w:line="259" w:lineRule="auto" w:after="20"/>
              <w:jc w:val="center"/>
            </w:pPr>
            <w:r>
              <w:rPr>
                <w:sz w:val="13"/>
              </w:rPr>
              <w:t>3.30</w:t>
            </w:r>
          </w:p>
        </w:tc>
        <w:tc>
          <w:tcPr>
            <w:tcW w:type="dxa" w:w="1037"/>
            <w:vAlign w:val="center"/>
            <w:shd w:fill="FFFFFF"/>
          </w:tcPr>
          <w:p>
            <w:pPr>
              <w:spacing w:line="259" w:lineRule="auto" w:after="20"/>
              <w:jc w:val="center"/>
            </w:pPr>
            <w:r>
              <w:rPr>
                <w:sz w:val="13"/>
              </w:rPr>
              <w:t>402.4</w:t>
            </w:r>
          </w:p>
        </w:tc>
        <w:tc>
          <w:tcPr>
            <w:tcW w:type="dxa" w:w="1037"/>
            <w:vAlign w:val="center"/>
            <w:shd w:fill="FFFFFF"/>
          </w:tcPr>
          <w:p>
            <w:pPr>
              <w:spacing w:line="259" w:lineRule="auto" w:after="20"/>
              <w:jc w:val="center"/>
            </w:pPr>
            <w:r>
              <w:rPr>
                <w:sz w:val="13"/>
              </w:rPr>
              <w:t>785.1</w:t>
            </w:r>
          </w:p>
        </w:tc>
        <w:tc>
          <w:tcPr>
            <w:tcW w:type="dxa" w:w="1037"/>
            <w:vAlign w:val="center"/>
            <w:shd w:fill="FFFFFF"/>
          </w:tcPr>
          <w:p>
            <w:pPr>
              <w:spacing w:line="259" w:lineRule="auto" w:after="20"/>
              <w:jc w:val="center"/>
            </w:pPr>
            <w:r>
              <w:rPr>
                <w:sz w:val="13"/>
              </w:rPr>
              <w:t>19.88</w:t>
            </w:r>
          </w:p>
        </w:tc>
      </w:tr>
      <w:tr>
        <w:tc>
          <w:tcPr>
            <w:tcW w:type="dxa" w:w="1123"/>
            <w:vAlign w:val="center"/>
            <w:shd w:fill="F3F7FC"/>
          </w:tcPr>
          <w:p>
            <w:pPr>
              <w:spacing w:line="259" w:lineRule="auto" w:after="20"/>
              <w:jc w:val="center"/>
            </w:pPr>
            <w:r>
              <w:rPr>
                <w:sz w:val="13"/>
              </w:rPr>
              <w:t>2025-08-01</w:t>
            </w:r>
          </w:p>
        </w:tc>
        <w:tc>
          <w:tcPr>
            <w:tcW w:type="dxa" w:w="1080"/>
            <w:vAlign w:val="center"/>
            <w:shd w:fill="F3F7FC"/>
          </w:tcPr>
          <w:p>
            <w:pPr>
              <w:spacing w:line="259" w:lineRule="auto" w:after="20"/>
              <w:jc w:val="center"/>
            </w:pPr>
            <w:r>
              <w:rPr>
                <w:sz w:val="13"/>
              </w:rPr>
              <w:t>500635396</w:t>
            </w:r>
          </w:p>
        </w:tc>
        <w:tc>
          <w:tcPr>
            <w:tcW w:type="dxa" w:w="1181"/>
            <w:vAlign w:val="center"/>
            <w:shd w:fill="F3F7FC"/>
          </w:tcPr>
          <w:p>
            <w:pPr>
              <w:spacing w:line="259" w:lineRule="auto" w:after="20"/>
              <w:jc w:val="center"/>
            </w:pPr>
            <w:r>
              <w:rPr>
                <w:sz w:val="13"/>
              </w:rPr>
              <w:t>9773660250</w:t>
            </w:r>
          </w:p>
        </w:tc>
        <w:tc>
          <w:tcPr>
            <w:tcW w:type="dxa" w:w="792"/>
            <w:vAlign w:val="center"/>
            <w:shd w:fill="F3F7FC"/>
          </w:tcPr>
          <w:p>
            <w:pPr>
              <w:spacing w:line="259" w:lineRule="auto" w:after="20"/>
              <w:jc w:val="center"/>
            </w:pPr>
            <w:r>
              <w:rPr>
                <w:sz w:val="13"/>
              </w:rPr>
              <w:t>232</w:t>
            </w:r>
          </w:p>
        </w:tc>
        <w:tc>
          <w:tcPr>
            <w:tcW w:type="dxa" w:w="979"/>
            <w:vAlign w:val="center"/>
            <w:shd w:fill="F3F7FC"/>
          </w:tcPr>
          <w:p>
            <w:pPr>
              <w:spacing w:line="259" w:lineRule="auto" w:after="20"/>
              <w:jc w:val="center"/>
            </w:pPr>
            <w:r>
              <w:rPr>
                <w:sz w:val="13"/>
              </w:rPr>
              <w:t>312.66</w:t>
            </w:r>
          </w:p>
        </w:tc>
        <w:tc>
          <w:tcPr>
            <w:tcW w:type="dxa" w:w="936"/>
            <w:vAlign w:val="center"/>
            <w:shd w:fill="F3F7FC"/>
          </w:tcPr>
          <w:p>
            <w:pPr>
              <w:spacing w:line="259" w:lineRule="auto" w:after="20"/>
              <w:jc w:val="center"/>
            </w:pPr>
            <w:r>
              <w:rPr>
                <w:sz w:val="13"/>
              </w:rPr>
              <w:t>2.89</w:t>
            </w:r>
          </w:p>
        </w:tc>
        <w:tc>
          <w:tcPr>
            <w:tcW w:type="dxa" w:w="1037"/>
            <w:vAlign w:val="center"/>
            <w:shd w:fill="F3F7FC"/>
          </w:tcPr>
          <w:p>
            <w:pPr>
              <w:spacing w:line="259" w:lineRule="auto" w:after="20"/>
              <w:jc w:val="center"/>
            </w:pPr>
            <w:r>
              <w:rPr>
                <w:sz w:val="13"/>
              </w:rPr>
              <w:t>317.2</w:t>
            </w:r>
          </w:p>
        </w:tc>
        <w:tc>
          <w:tcPr>
            <w:tcW w:type="dxa" w:w="1037"/>
            <w:vAlign w:val="center"/>
            <w:shd w:fill="F3F7FC"/>
          </w:tcPr>
          <w:p>
            <w:pPr>
              <w:spacing w:line="259" w:lineRule="auto" w:after="20"/>
              <w:jc w:val="center"/>
            </w:pPr>
            <w:r>
              <w:rPr>
                <w:sz w:val="13"/>
              </w:rPr>
              <w:t>685.3</w:t>
            </w:r>
          </w:p>
        </w:tc>
        <w:tc>
          <w:tcPr>
            <w:tcW w:type="dxa" w:w="1037"/>
            <w:vAlign w:val="center"/>
            <w:shd w:fill="F3F7FC"/>
          </w:tcPr>
          <w:p>
            <w:pPr>
              <w:spacing w:line="259" w:lineRule="auto" w:after="20"/>
              <w:jc w:val="center"/>
            </w:pPr>
            <w:r>
              <w:rPr>
                <w:sz w:val="13"/>
              </w:rPr>
              <w:t>15.68</w:t>
            </w:r>
          </w:p>
        </w:tc>
      </w:tr>
      <w:tr>
        <w:tc>
          <w:tcPr>
            <w:tcW w:type="dxa" w:w="1123"/>
            <w:vAlign w:val="center"/>
            <w:shd w:fill="FFFFFF"/>
          </w:tcPr>
          <w:p>
            <w:pPr>
              <w:spacing w:line="259" w:lineRule="auto" w:after="20"/>
              <w:jc w:val="center"/>
            </w:pPr>
            <w:r>
              <w:rPr>
                <w:sz w:val="13"/>
              </w:rPr>
              <w:t>2025-08-01</w:t>
            </w:r>
          </w:p>
        </w:tc>
        <w:tc>
          <w:tcPr>
            <w:tcW w:type="dxa" w:w="1080"/>
            <w:vAlign w:val="center"/>
            <w:shd w:fill="FFFFFF"/>
          </w:tcPr>
          <w:p>
            <w:pPr>
              <w:spacing w:line="259" w:lineRule="auto" w:after="20"/>
              <w:jc w:val="center"/>
            </w:pPr>
            <w:r>
              <w:rPr>
                <w:sz w:val="13"/>
              </w:rPr>
              <w:t>500635396</w:t>
            </w:r>
          </w:p>
        </w:tc>
        <w:tc>
          <w:tcPr>
            <w:tcW w:type="dxa" w:w="1181"/>
            <w:vAlign w:val="center"/>
            <w:shd w:fill="FFFFFF"/>
          </w:tcPr>
          <w:p>
            <w:pPr>
              <w:spacing w:line="259" w:lineRule="auto" w:after="20"/>
              <w:jc w:val="center"/>
            </w:pPr>
            <w:r>
              <w:rPr>
                <w:sz w:val="13"/>
              </w:rPr>
              <w:t>9657930100</w:t>
            </w:r>
          </w:p>
        </w:tc>
        <w:tc>
          <w:tcPr>
            <w:tcW w:type="dxa" w:w="792"/>
            <w:vAlign w:val="center"/>
            <w:shd w:fill="FFFFFF"/>
          </w:tcPr>
          <w:p>
            <w:pPr>
              <w:spacing w:line="259" w:lineRule="auto" w:after="20"/>
              <w:jc w:val="center"/>
            </w:pPr>
            <w:r>
              <w:rPr>
                <w:sz w:val="13"/>
              </w:rPr>
              <w:t>4536</w:t>
            </w:r>
          </w:p>
        </w:tc>
        <w:tc>
          <w:tcPr>
            <w:tcW w:type="dxa" w:w="979"/>
            <w:vAlign w:val="center"/>
            <w:shd w:fill="FFFFFF"/>
          </w:tcPr>
          <w:p>
            <w:pPr>
              <w:spacing w:line="259" w:lineRule="auto" w:after="20"/>
              <w:jc w:val="center"/>
            </w:pPr>
            <w:r>
              <w:rPr>
                <w:sz w:val="13"/>
              </w:rPr>
              <w:t>224.62</w:t>
            </w:r>
          </w:p>
        </w:tc>
        <w:tc>
          <w:tcPr>
            <w:tcW w:type="dxa" w:w="936"/>
            <w:vAlign w:val="center"/>
            <w:shd w:fill="FFFFFF"/>
          </w:tcPr>
          <w:p>
            <w:pPr>
              <w:spacing w:line="259" w:lineRule="auto" w:after="20"/>
              <w:jc w:val="center"/>
            </w:pPr>
            <w:r>
              <w:rPr>
                <w:sz w:val="13"/>
              </w:rPr>
              <w:t>3.30</w:t>
            </w:r>
          </w:p>
        </w:tc>
        <w:tc>
          <w:tcPr>
            <w:tcW w:type="dxa" w:w="1037"/>
            <w:vAlign w:val="center"/>
            <w:shd w:fill="FFFFFF"/>
          </w:tcPr>
          <w:p>
            <w:pPr>
              <w:spacing w:line="259" w:lineRule="auto" w:after="20"/>
              <w:jc w:val="center"/>
            </w:pPr>
            <w:r>
              <w:rPr>
                <w:sz w:val="13"/>
              </w:rPr>
              <w:t>181.4</w:t>
            </w:r>
          </w:p>
        </w:tc>
        <w:tc>
          <w:tcPr>
            <w:tcW w:type="dxa" w:w="1037"/>
            <w:vAlign w:val="center"/>
            <w:shd w:fill="FFFFFF"/>
          </w:tcPr>
          <w:p>
            <w:pPr>
              <w:spacing w:line="259" w:lineRule="auto" w:after="20"/>
              <w:jc w:val="center"/>
            </w:pPr>
            <w:r>
              <w:rPr>
                <w:sz w:val="13"/>
              </w:rPr>
              <w:t>405.9</w:t>
            </w:r>
          </w:p>
        </w:tc>
        <w:tc>
          <w:tcPr>
            <w:tcW w:type="dxa" w:w="1037"/>
            <w:vAlign w:val="center"/>
            <w:shd w:fill="FFFFFF"/>
          </w:tcPr>
          <w:p>
            <w:pPr>
              <w:spacing w:line="259" w:lineRule="auto" w:after="20"/>
              <w:jc w:val="center"/>
            </w:pPr>
            <w:r>
              <w:rPr>
                <w:sz w:val="13"/>
              </w:rPr>
              <w:t>8.96</w:t>
            </w:r>
          </w:p>
        </w:tc>
      </w:tr>
      <w:tr>
        <w:tc>
          <w:tcPr>
            <w:tcW w:type="dxa" w:w="1123"/>
            <w:vAlign w:val="center"/>
            <w:shd w:fill="F3F7FC"/>
          </w:tcPr>
          <w:p>
            <w:pPr>
              <w:spacing w:line="259" w:lineRule="auto" w:after="20"/>
              <w:jc w:val="center"/>
            </w:pPr>
            <w:r>
              <w:rPr>
                <w:sz w:val="13"/>
              </w:rPr>
              <w:t>2025-08-01</w:t>
            </w:r>
          </w:p>
        </w:tc>
        <w:tc>
          <w:tcPr>
            <w:tcW w:type="dxa" w:w="1080"/>
            <w:vAlign w:val="center"/>
            <w:shd w:fill="F3F7FC"/>
          </w:tcPr>
          <w:p>
            <w:pPr>
              <w:spacing w:line="259" w:lineRule="auto" w:after="20"/>
              <w:jc w:val="center"/>
            </w:pPr>
            <w:r>
              <w:rPr>
                <w:sz w:val="13"/>
              </w:rPr>
              <w:t>525368335</w:t>
            </w:r>
          </w:p>
        </w:tc>
        <w:tc>
          <w:tcPr>
            <w:tcW w:type="dxa" w:w="1181"/>
            <w:vAlign w:val="center"/>
            <w:shd w:fill="F3F7FC"/>
          </w:tcPr>
          <w:p>
            <w:pPr>
              <w:spacing w:line="259" w:lineRule="auto" w:after="20"/>
              <w:jc w:val="center"/>
            </w:pPr>
            <w:r>
              <w:rPr>
                <w:sz w:val="13"/>
              </w:rPr>
              <w:t>9811363528</w:t>
            </w:r>
          </w:p>
        </w:tc>
        <w:tc>
          <w:tcPr>
            <w:tcW w:type="dxa" w:w="792"/>
            <w:vAlign w:val="center"/>
            <w:shd w:fill="F3F7FC"/>
          </w:tcPr>
          <w:p>
            <w:pPr>
              <w:spacing w:line="259" w:lineRule="auto" w:after="20"/>
              <w:jc w:val="center"/>
            </w:pPr>
            <w:r>
              <w:rPr>
                <w:sz w:val="13"/>
              </w:rPr>
              <w:t>1952</w:t>
            </w:r>
          </w:p>
        </w:tc>
        <w:tc>
          <w:tcPr>
            <w:tcW w:type="dxa" w:w="979"/>
            <w:vAlign w:val="center"/>
            <w:shd w:fill="F3F7FC"/>
          </w:tcPr>
          <w:p>
            <w:pPr>
              <w:spacing w:line="259" w:lineRule="auto" w:after="20"/>
              <w:jc w:val="center"/>
            </w:pPr>
            <w:r>
              <w:rPr>
                <w:sz w:val="13"/>
              </w:rPr>
              <w:t>170.51</w:t>
            </w:r>
          </w:p>
        </w:tc>
        <w:tc>
          <w:tcPr>
            <w:tcW w:type="dxa" w:w="936"/>
            <w:vAlign w:val="center"/>
            <w:shd w:fill="F3F7FC"/>
          </w:tcPr>
          <w:p>
            <w:pPr>
              <w:spacing w:line="259" w:lineRule="auto" w:after="20"/>
              <w:jc w:val="center"/>
            </w:pPr>
            <w:r>
              <w:rPr>
                <w:sz w:val="13"/>
              </w:rPr>
              <w:t>3.92</w:t>
            </w:r>
          </w:p>
        </w:tc>
        <w:tc>
          <w:tcPr>
            <w:tcW w:type="dxa" w:w="1037"/>
            <w:vAlign w:val="center"/>
            <w:shd w:fill="F3F7FC"/>
          </w:tcPr>
          <w:p>
            <w:pPr>
              <w:spacing w:line="259" w:lineRule="auto" w:after="20"/>
              <w:jc w:val="center"/>
            </w:pPr>
            <w:r>
              <w:rPr>
                <w:sz w:val="13"/>
              </w:rPr>
              <w:t>587.4</w:t>
            </w:r>
          </w:p>
        </w:tc>
        <w:tc>
          <w:tcPr>
            <w:tcW w:type="dxa" w:w="1037"/>
            <w:vAlign w:val="center"/>
            <w:shd w:fill="F3F7FC"/>
          </w:tcPr>
          <w:p>
            <w:pPr>
              <w:spacing w:line="259" w:lineRule="auto" w:after="20"/>
              <w:jc w:val="center"/>
            </w:pPr>
            <w:r>
              <w:rPr>
                <w:sz w:val="13"/>
              </w:rPr>
              <w:t>644.4</w:t>
            </w:r>
          </w:p>
        </w:tc>
        <w:tc>
          <w:tcPr>
            <w:tcW w:type="dxa" w:w="1037"/>
            <w:vAlign w:val="center"/>
            <w:shd w:fill="F3F7FC"/>
          </w:tcPr>
          <w:p>
            <w:pPr>
              <w:spacing w:line="259" w:lineRule="auto" w:after="20"/>
              <w:jc w:val="center"/>
            </w:pPr>
            <w:r>
              <w:rPr>
                <w:sz w:val="13"/>
              </w:rPr>
              <w:t>29.03</w:t>
            </w:r>
          </w:p>
        </w:tc>
      </w:tr>
    </w:tbl>
    <w:p>
      <w:pPr>
        <w:spacing w:after="0"/>
      </w:pPr>
    </w:p>
    <w:p>
      <w:pPr>
        <w:pStyle w:val="Heading1"/>
      </w:pPr>
      <w:r>
        <w:t>九 可视化与敏感性分析</w:t>
      </w:r>
    </w:p>
    <w:p>
      <w:r>
        <w:t>第三问需要可视化，但图不宜过多。正文保留两幅图即可：图1说明日期参数的来源，图2说明同预算优化的效果。详细关键词结果数量很多，应放入result3.xlsx，不适合绘制全部关键词柱状图。</w:t>
      </w:r>
    </w:p>
    <w:p>
      <w:pPr>
        <w:pStyle w:val="Heading2"/>
      </w:pPr>
      <w:r>
        <w:t>9.1 检验对象与方法</w:t>
      </w:r>
    </w:p>
    <w:p>
      <w:r>
        <w:t>模型中的日期修正系数、浏览深度和注册率由数据计算。敏感性检验同时考察三个可能影响结果的参数：潜力词最高预算比例β、关键词最高投入倍数γ，以及关键词效率平滑强度C₀。基准值分别为β=0.15、γ=1.20和C₀=8.06元。保持16天总预算51,164.93元不变，每次只改变一个参数并重新求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952"/>
            <w:shd w:fill="173B67"/>
            <w:vAlign w:val="center"/>
          </w:tcPr>
          <w:p>
            <w:pPr>
              <w:jc w:val="center"/>
            </w:pPr>
            <w:r>
              <w:rPr>
                <w:b/>
                <w:color w:val="FFFFFF"/>
                <w:sz w:val="16"/>
              </w:rPr>
              <w:t>检验参数</w:t>
            </w:r>
          </w:p>
        </w:tc>
        <w:tc>
          <w:tcPr>
            <w:tcW w:type="dxa" w:w="2088"/>
            <w:shd w:fill="173B67"/>
            <w:vAlign w:val="center"/>
          </w:tcPr>
          <w:p>
            <w:pPr>
              <w:jc w:val="center"/>
            </w:pPr>
            <w:r>
              <w:rPr>
                <w:b/>
                <w:color w:val="FFFFFF"/>
                <w:sz w:val="16"/>
              </w:rPr>
              <w:t>保守情景</w:t>
            </w:r>
          </w:p>
        </w:tc>
        <w:tc>
          <w:tcPr>
            <w:tcW w:type="dxa" w:w="2088"/>
            <w:shd w:fill="173B67"/>
            <w:vAlign w:val="center"/>
          </w:tcPr>
          <w:p>
            <w:pPr>
              <w:jc w:val="center"/>
            </w:pPr>
            <w:r>
              <w:rPr>
                <w:b/>
                <w:color w:val="FFFFFF"/>
                <w:sz w:val="16"/>
              </w:rPr>
              <w:t>基准情景</w:t>
            </w:r>
          </w:p>
        </w:tc>
        <w:tc>
          <w:tcPr>
            <w:tcW w:type="dxa" w:w="2088"/>
            <w:shd w:fill="173B67"/>
            <w:vAlign w:val="center"/>
          </w:tcPr>
          <w:p>
            <w:pPr>
              <w:jc w:val="center"/>
            </w:pPr>
            <w:r>
              <w:rPr>
                <w:b/>
                <w:color w:val="FFFFFF"/>
                <w:sz w:val="16"/>
              </w:rPr>
              <w:t>宽松情景</w:t>
            </w:r>
          </w:p>
        </w:tc>
      </w:tr>
      <w:tr>
        <w:tc>
          <w:tcPr>
            <w:tcW w:type="dxa" w:w="2952"/>
            <w:vAlign w:val="center"/>
            <w:shd w:fill="FFFFFF"/>
          </w:tcPr>
          <w:p>
            <w:pPr>
              <w:spacing w:line="259" w:lineRule="auto" w:after="20"/>
              <w:jc w:val="center"/>
            </w:pPr>
            <w:r>
              <w:rPr>
                <w:sz w:val="16"/>
              </w:rPr>
              <w:t>潜力词预算比例β</w:t>
            </w:r>
          </w:p>
        </w:tc>
        <w:tc>
          <w:tcPr>
            <w:tcW w:type="dxa" w:w="2088"/>
            <w:vAlign w:val="center"/>
            <w:shd w:fill="FFFFFF"/>
          </w:tcPr>
          <w:p>
            <w:pPr>
              <w:spacing w:line="259" w:lineRule="auto" w:after="20"/>
              <w:jc w:val="center"/>
            </w:pPr>
            <w:r>
              <w:rPr>
                <w:sz w:val="16"/>
              </w:rPr>
              <w:t>0.10</w:t>
            </w:r>
          </w:p>
        </w:tc>
        <w:tc>
          <w:tcPr>
            <w:tcW w:type="dxa" w:w="2088"/>
            <w:vAlign w:val="center"/>
            <w:shd w:fill="FFFFFF"/>
          </w:tcPr>
          <w:p>
            <w:pPr>
              <w:spacing w:line="259" w:lineRule="auto" w:after="20"/>
              <w:jc w:val="center"/>
            </w:pPr>
            <w:r>
              <w:rPr>
                <w:sz w:val="16"/>
              </w:rPr>
              <w:t>0.15</w:t>
            </w:r>
          </w:p>
        </w:tc>
        <w:tc>
          <w:tcPr>
            <w:tcW w:type="dxa" w:w="2088"/>
            <w:vAlign w:val="center"/>
            <w:shd w:fill="FFFFFF"/>
          </w:tcPr>
          <w:p>
            <w:pPr>
              <w:spacing w:line="259" w:lineRule="auto" w:after="20"/>
              <w:jc w:val="center"/>
            </w:pPr>
            <w:r>
              <w:rPr>
                <w:sz w:val="16"/>
              </w:rPr>
              <w:t>0.20</w:t>
            </w:r>
          </w:p>
        </w:tc>
      </w:tr>
      <w:tr>
        <w:tc>
          <w:tcPr>
            <w:tcW w:type="dxa" w:w="2952"/>
            <w:vAlign w:val="center"/>
            <w:shd w:fill="F3F7FC"/>
          </w:tcPr>
          <w:p>
            <w:pPr>
              <w:spacing w:line="259" w:lineRule="auto" w:after="20"/>
              <w:jc w:val="center"/>
            </w:pPr>
            <w:r>
              <w:rPr>
                <w:sz w:val="16"/>
              </w:rPr>
              <w:t>关键词投入上限倍数γ</w:t>
            </w:r>
          </w:p>
        </w:tc>
        <w:tc>
          <w:tcPr>
            <w:tcW w:type="dxa" w:w="2088"/>
            <w:vAlign w:val="center"/>
            <w:shd w:fill="F3F7FC"/>
          </w:tcPr>
          <w:p>
            <w:pPr>
              <w:spacing w:line="259" w:lineRule="auto" w:after="20"/>
              <w:jc w:val="center"/>
            </w:pPr>
            <w:r>
              <w:rPr>
                <w:sz w:val="16"/>
              </w:rPr>
              <w:t>1.10</w:t>
            </w:r>
          </w:p>
        </w:tc>
        <w:tc>
          <w:tcPr>
            <w:tcW w:type="dxa" w:w="2088"/>
            <w:vAlign w:val="center"/>
            <w:shd w:fill="F3F7FC"/>
          </w:tcPr>
          <w:p>
            <w:pPr>
              <w:spacing w:line="259" w:lineRule="auto" w:after="20"/>
              <w:jc w:val="center"/>
            </w:pPr>
            <w:r>
              <w:rPr>
                <w:sz w:val="16"/>
              </w:rPr>
              <w:t>1.20</w:t>
            </w:r>
          </w:p>
        </w:tc>
        <w:tc>
          <w:tcPr>
            <w:tcW w:type="dxa" w:w="2088"/>
            <w:vAlign w:val="center"/>
            <w:shd w:fill="F3F7FC"/>
          </w:tcPr>
          <w:p>
            <w:pPr>
              <w:spacing w:line="259" w:lineRule="auto" w:after="20"/>
              <w:jc w:val="center"/>
            </w:pPr>
            <w:r>
              <w:rPr>
                <w:sz w:val="16"/>
              </w:rPr>
              <w:t>1.30</w:t>
            </w:r>
          </w:p>
        </w:tc>
      </w:tr>
      <w:tr>
        <w:tc>
          <w:tcPr>
            <w:tcW w:type="dxa" w:w="2952"/>
            <w:vAlign w:val="center"/>
            <w:shd w:fill="FFFFFF"/>
          </w:tcPr>
          <w:p>
            <w:pPr>
              <w:spacing w:line="259" w:lineRule="auto" w:after="20"/>
              <w:jc w:val="center"/>
            </w:pPr>
            <w:r>
              <w:rPr>
                <w:sz w:val="16"/>
              </w:rPr>
              <w:t>平滑强度C₀</w:t>
            </w:r>
          </w:p>
        </w:tc>
        <w:tc>
          <w:tcPr>
            <w:tcW w:type="dxa" w:w="2088"/>
            <w:vAlign w:val="center"/>
            <w:shd w:fill="FFFFFF"/>
          </w:tcPr>
          <w:p>
            <w:pPr>
              <w:spacing w:line="259" w:lineRule="auto" w:after="20"/>
              <w:jc w:val="center"/>
            </w:pPr>
            <w:r>
              <w:rPr>
                <w:sz w:val="16"/>
              </w:rPr>
              <w:t>4.03</w:t>
            </w:r>
          </w:p>
        </w:tc>
        <w:tc>
          <w:tcPr>
            <w:tcW w:type="dxa" w:w="2088"/>
            <w:vAlign w:val="center"/>
            <w:shd w:fill="FFFFFF"/>
          </w:tcPr>
          <w:p>
            <w:pPr>
              <w:spacing w:line="259" w:lineRule="auto" w:after="20"/>
              <w:jc w:val="center"/>
            </w:pPr>
            <w:r>
              <w:rPr>
                <w:sz w:val="16"/>
              </w:rPr>
              <w:t>8.06</w:t>
            </w:r>
          </w:p>
        </w:tc>
        <w:tc>
          <w:tcPr>
            <w:tcW w:type="dxa" w:w="2088"/>
            <w:vAlign w:val="center"/>
            <w:shd w:fill="FFFFFF"/>
          </w:tcPr>
          <w:p>
            <w:pPr>
              <w:spacing w:line="259" w:lineRule="auto" w:after="20"/>
              <w:jc w:val="center"/>
            </w:pPr>
            <w:r>
              <w:rPr>
                <w:sz w:val="16"/>
              </w:rPr>
              <w:t>16.12；另检验50</w:t>
            </w:r>
          </w:p>
        </w:tc>
      </w:tr>
    </w:tbl>
    <w:p>
      <w:pPr>
        <w:spacing w:after="0"/>
      </w:pPr>
    </w:p>
    <w:p>
      <w:r>
        <w:t>为保证不同情景可比，若个别推广单元因候选词上限过紧而无法用完预算，则允许剩余预算在同日其他可行投放单元中重新分配；各情景最终投入总额均保持为51,164.93元。比较指标采用预期注册总量及其相对基准情景的变化率。</w:t>
      </w:r>
    </w:p>
    <w:p>
      <w:pPr>
        <w:pStyle w:val="Heading2"/>
      </w:pPr>
      <w:r>
        <w:t>9.2 敏感性检验结果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2304"/>
            <w:shd w:fill="173B67"/>
            <w:vAlign w:val="center"/>
          </w:tcPr>
          <w:p>
            <w:pPr>
              <w:jc w:val="center"/>
            </w:pPr>
            <w:r>
              <w:rPr>
                <w:b/>
                <w:color w:val="FFFFFF"/>
                <w:sz w:val="15"/>
              </w:rPr>
              <w:t>变化参数</w:t>
            </w:r>
          </w:p>
        </w:tc>
        <w:tc>
          <w:tcPr>
            <w:tcW w:type="dxa" w:w="1512"/>
            <w:shd w:fill="173B67"/>
            <w:vAlign w:val="center"/>
          </w:tcPr>
          <w:p>
            <w:pPr>
              <w:jc w:val="center"/>
            </w:pPr>
            <w:r>
              <w:rPr>
                <w:b/>
                <w:color w:val="FFFFFF"/>
                <w:sz w:val="15"/>
              </w:rPr>
              <w:t>参数取值</w:t>
            </w:r>
          </w:p>
        </w:tc>
        <w:tc>
          <w:tcPr>
            <w:tcW w:type="dxa" w:w="1944"/>
            <w:shd w:fill="173B67"/>
            <w:vAlign w:val="center"/>
          </w:tcPr>
          <w:p>
            <w:pPr>
              <w:jc w:val="center"/>
            </w:pPr>
            <w:r>
              <w:rPr>
                <w:b/>
                <w:color w:val="FFFFFF"/>
                <w:sz w:val="15"/>
              </w:rPr>
              <w:t>总投入金额</w:t>
            </w:r>
          </w:p>
        </w:tc>
        <w:tc>
          <w:tcPr>
            <w:tcW w:type="dxa" w:w="1872"/>
            <w:shd w:fill="173B67"/>
            <w:vAlign w:val="center"/>
          </w:tcPr>
          <w:p>
            <w:pPr>
              <w:jc w:val="center"/>
            </w:pPr>
            <w:r>
              <w:rPr>
                <w:b/>
                <w:color w:val="FFFFFF"/>
                <w:sz w:val="15"/>
              </w:rPr>
              <w:t>预期注册量</w:t>
            </w:r>
          </w:p>
        </w:tc>
        <w:tc>
          <w:tcPr>
            <w:tcW w:type="dxa" w:w="2088"/>
            <w:shd w:fill="173B67"/>
            <w:vAlign w:val="center"/>
          </w:tcPr>
          <w:p>
            <w:pPr>
              <w:jc w:val="center"/>
            </w:pPr>
            <w:r>
              <w:rPr>
                <w:b/>
                <w:color w:val="FFFFFF"/>
                <w:sz w:val="15"/>
              </w:rPr>
              <w:t>相对基准变化</w:t>
            </w:r>
          </w:p>
        </w:tc>
      </w:tr>
      <w:tr>
        <w:tc>
          <w:tcPr>
            <w:tcW w:type="dxa" w:w="2304"/>
            <w:vAlign w:val="center"/>
            <w:shd w:fill="FFFFFF"/>
          </w:tcPr>
          <w:p>
            <w:pPr>
              <w:spacing w:line="259" w:lineRule="auto" w:after="20"/>
              <w:jc w:val="center"/>
            </w:pPr>
            <w:r>
              <w:rPr>
                <w:sz w:val="15"/>
              </w:rPr>
              <w:t>潜力词比例β</w:t>
            </w:r>
          </w:p>
        </w:tc>
        <w:tc>
          <w:tcPr>
            <w:tcW w:type="dxa" w:w="1512"/>
            <w:vAlign w:val="center"/>
            <w:shd w:fill="FFFFFF"/>
          </w:tcPr>
          <w:p>
            <w:pPr>
              <w:spacing w:line="259" w:lineRule="auto" w:after="20"/>
              <w:jc w:val="center"/>
            </w:pPr>
            <w:r>
              <w:rPr>
                <w:sz w:val="15"/>
              </w:rPr>
              <w:t>0.10</w:t>
            </w:r>
          </w:p>
        </w:tc>
        <w:tc>
          <w:tcPr>
            <w:tcW w:type="dxa" w:w="1944"/>
            <w:vAlign w:val="center"/>
            <w:shd w:fill="FFFFFF"/>
          </w:tcPr>
          <w:p>
            <w:pPr>
              <w:spacing w:line="259" w:lineRule="auto" w:after="20"/>
              <w:jc w:val="center"/>
            </w:pPr>
            <w:r>
              <w:rPr>
                <w:sz w:val="15"/>
              </w:rPr>
              <w:t>51,164.93</w:t>
            </w:r>
          </w:p>
        </w:tc>
        <w:tc>
          <w:tcPr>
            <w:tcW w:type="dxa" w:w="1872"/>
            <w:vAlign w:val="center"/>
            <w:shd w:fill="FFFFFF"/>
          </w:tcPr>
          <w:p>
            <w:pPr>
              <w:spacing w:line="259" w:lineRule="auto" w:after="20"/>
              <w:jc w:val="center"/>
            </w:pPr>
            <w:r>
              <w:rPr>
                <w:sz w:val="15"/>
              </w:rPr>
              <w:t>4,311.0</w:t>
            </w:r>
          </w:p>
        </w:tc>
        <w:tc>
          <w:tcPr>
            <w:tcW w:type="dxa" w:w="2088"/>
            <w:vAlign w:val="center"/>
            <w:shd w:fill="FFFFFF"/>
          </w:tcPr>
          <w:p>
            <w:pPr>
              <w:spacing w:line="259" w:lineRule="auto" w:after="20"/>
              <w:jc w:val="center"/>
            </w:pPr>
            <w:r>
              <w:rPr>
                <w:sz w:val="15"/>
              </w:rPr>
              <w:t>-0.01%</w:t>
            </w:r>
          </w:p>
        </w:tc>
      </w:tr>
      <w:tr>
        <w:tc>
          <w:tcPr>
            <w:tcW w:type="dxa" w:w="2304"/>
            <w:vAlign w:val="center"/>
            <w:shd w:fill="F3F7FC"/>
          </w:tcPr>
          <w:p>
            <w:pPr>
              <w:spacing w:line="259" w:lineRule="auto" w:after="20"/>
              <w:jc w:val="center"/>
            </w:pPr>
            <w:r>
              <w:rPr>
                <w:sz w:val="15"/>
              </w:rPr>
              <w:t>潜力词比例β</w:t>
            </w:r>
          </w:p>
        </w:tc>
        <w:tc>
          <w:tcPr>
            <w:tcW w:type="dxa" w:w="1512"/>
            <w:vAlign w:val="center"/>
            <w:shd w:fill="F3F7FC"/>
          </w:tcPr>
          <w:p>
            <w:pPr>
              <w:spacing w:line="259" w:lineRule="auto" w:after="20"/>
              <w:jc w:val="center"/>
            </w:pPr>
            <w:r>
              <w:rPr>
                <w:sz w:val="15"/>
              </w:rPr>
              <w:t>0.15</w:t>
            </w:r>
          </w:p>
        </w:tc>
        <w:tc>
          <w:tcPr>
            <w:tcW w:type="dxa" w:w="1944"/>
            <w:vAlign w:val="center"/>
            <w:shd w:fill="F3F7FC"/>
          </w:tcPr>
          <w:p>
            <w:pPr>
              <w:spacing w:line="259" w:lineRule="auto" w:after="20"/>
              <w:jc w:val="center"/>
            </w:pPr>
            <w:r>
              <w:rPr>
                <w:sz w:val="15"/>
              </w:rPr>
              <w:t>51,164.93</w:t>
            </w:r>
          </w:p>
        </w:tc>
        <w:tc>
          <w:tcPr>
            <w:tcW w:type="dxa" w:w="1872"/>
            <w:vAlign w:val="center"/>
            <w:shd w:fill="F3F7FC"/>
          </w:tcPr>
          <w:p>
            <w:pPr>
              <w:spacing w:line="259" w:lineRule="auto" w:after="20"/>
              <w:jc w:val="center"/>
            </w:pPr>
            <w:r>
              <w:rPr>
                <w:sz w:val="15"/>
              </w:rPr>
              <w:t>4,311.2</w:t>
            </w:r>
          </w:p>
        </w:tc>
        <w:tc>
          <w:tcPr>
            <w:tcW w:type="dxa" w:w="2088"/>
            <w:vAlign w:val="center"/>
            <w:shd w:fill="F3F7FC"/>
          </w:tcPr>
          <w:p>
            <w:pPr>
              <w:spacing w:line="259" w:lineRule="auto" w:after="20"/>
              <w:jc w:val="center"/>
            </w:pPr>
            <w:r>
              <w:rPr>
                <w:sz w:val="15"/>
              </w:rPr>
              <w:t>基准</w:t>
            </w:r>
          </w:p>
        </w:tc>
      </w:tr>
      <w:tr>
        <w:tc>
          <w:tcPr>
            <w:tcW w:type="dxa" w:w="2304"/>
            <w:vAlign w:val="center"/>
            <w:shd w:fill="FFFFFF"/>
          </w:tcPr>
          <w:p>
            <w:pPr>
              <w:spacing w:line="259" w:lineRule="auto" w:after="20"/>
              <w:jc w:val="center"/>
            </w:pPr>
            <w:r>
              <w:rPr>
                <w:sz w:val="15"/>
              </w:rPr>
              <w:t>潜力词比例β</w:t>
            </w:r>
          </w:p>
        </w:tc>
        <w:tc>
          <w:tcPr>
            <w:tcW w:type="dxa" w:w="1512"/>
            <w:vAlign w:val="center"/>
            <w:shd w:fill="FFFFFF"/>
          </w:tcPr>
          <w:p>
            <w:pPr>
              <w:spacing w:line="259" w:lineRule="auto" w:after="20"/>
              <w:jc w:val="center"/>
            </w:pPr>
            <w:r>
              <w:rPr>
                <w:sz w:val="15"/>
              </w:rPr>
              <w:t>0.20</w:t>
            </w:r>
          </w:p>
        </w:tc>
        <w:tc>
          <w:tcPr>
            <w:tcW w:type="dxa" w:w="1944"/>
            <w:vAlign w:val="center"/>
            <w:shd w:fill="FFFFFF"/>
          </w:tcPr>
          <w:p>
            <w:pPr>
              <w:spacing w:line="259" w:lineRule="auto" w:after="20"/>
              <w:jc w:val="center"/>
            </w:pPr>
            <w:r>
              <w:rPr>
                <w:sz w:val="15"/>
              </w:rPr>
              <w:t>51,164.93</w:t>
            </w:r>
          </w:p>
        </w:tc>
        <w:tc>
          <w:tcPr>
            <w:tcW w:type="dxa" w:w="1872"/>
            <w:vAlign w:val="center"/>
            <w:shd w:fill="FFFFFF"/>
          </w:tcPr>
          <w:p>
            <w:pPr>
              <w:spacing w:line="259" w:lineRule="auto" w:after="20"/>
              <w:jc w:val="center"/>
            </w:pPr>
            <w:r>
              <w:rPr>
                <w:sz w:val="15"/>
              </w:rPr>
              <w:t>4,311.4</w:t>
            </w:r>
          </w:p>
        </w:tc>
        <w:tc>
          <w:tcPr>
            <w:tcW w:type="dxa" w:w="2088"/>
            <w:vAlign w:val="center"/>
            <w:shd w:fill="FFFFFF"/>
          </w:tcPr>
          <w:p>
            <w:pPr>
              <w:spacing w:line="259" w:lineRule="auto" w:after="20"/>
              <w:jc w:val="center"/>
            </w:pPr>
            <w:r>
              <w:rPr>
                <w:sz w:val="15"/>
              </w:rPr>
              <w:t>+0.00%</w:t>
            </w:r>
          </w:p>
        </w:tc>
      </w:tr>
      <w:tr>
        <w:tc>
          <w:tcPr>
            <w:tcW w:type="dxa" w:w="2304"/>
            <w:vAlign w:val="center"/>
            <w:shd w:fill="F3F7FC"/>
          </w:tcPr>
          <w:p>
            <w:pPr>
              <w:spacing w:line="259" w:lineRule="auto" w:after="20"/>
              <w:jc w:val="center"/>
            </w:pPr>
            <w:r>
              <w:rPr>
                <w:sz w:val="15"/>
              </w:rPr>
              <w:t>投入上限倍数γ</w:t>
            </w:r>
          </w:p>
        </w:tc>
        <w:tc>
          <w:tcPr>
            <w:tcW w:type="dxa" w:w="1512"/>
            <w:vAlign w:val="center"/>
            <w:shd w:fill="F3F7FC"/>
          </w:tcPr>
          <w:p>
            <w:pPr>
              <w:spacing w:line="259" w:lineRule="auto" w:after="20"/>
              <w:jc w:val="center"/>
            </w:pPr>
            <w:r>
              <w:rPr>
                <w:sz w:val="15"/>
              </w:rPr>
              <w:t>1.10</w:t>
            </w:r>
          </w:p>
        </w:tc>
        <w:tc>
          <w:tcPr>
            <w:tcW w:type="dxa" w:w="1944"/>
            <w:vAlign w:val="center"/>
            <w:shd w:fill="F3F7FC"/>
          </w:tcPr>
          <w:p>
            <w:pPr>
              <w:spacing w:line="259" w:lineRule="auto" w:after="20"/>
              <w:jc w:val="center"/>
            </w:pPr>
            <w:r>
              <w:rPr>
                <w:sz w:val="15"/>
              </w:rPr>
              <w:t>51,164.93</w:t>
            </w:r>
          </w:p>
        </w:tc>
        <w:tc>
          <w:tcPr>
            <w:tcW w:type="dxa" w:w="1872"/>
            <w:vAlign w:val="center"/>
            <w:shd w:fill="F3F7FC"/>
          </w:tcPr>
          <w:p>
            <w:pPr>
              <w:spacing w:line="259" w:lineRule="auto" w:after="20"/>
              <w:jc w:val="center"/>
            </w:pPr>
            <w:r>
              <w:rPr>
                <w:sz w:val="15"/>
              </w:rPr>
              <w:t>4,293.9</w:t>
            </w:r>
          </w:p>
        </w:tc>
        <w:tc>
          <w:tcPr>
            <w:tcW w:type="dxa" w:w="2088"/>
            <w:vAlign w:val="center"/>
            <w:shd w:fill="F3F7FC"/>
          </w:tcPr>
          <w:p>
            <w:pPr>
              <w:spacing w:line="259" w:lineRule="auto" w:after="20"/>
              <w:jc w:val="center"/>
            </w:pPr>
            <w:r>
              <w:rPr>
                <w:sz w:val="15"/>
              </w:rPr>
              <w:t>-0.40%</w:t>
            </w:r>
          </w:p>
        </w:tc>
      </w:tr>
      <w:tr>
        <w:tc>
          <w:tcPr>
            <w:tcW w:type="dxa" w:w="2304"/>
            <w:vAlign w:val="center"/>
            <w:shd w:fill="FFFFFF"/>
          </w:tcPr>
          <w:p>
            <w:pPr>
              <w:spacing w:line="259" w:lineRule="auto" w:after="20"/>
              <w:jc w:val="center"/>
            </w:pPr>
            <w:r>
              <w:rPr>
                <w:sz w:val="15"/>
              </w:rPr>
              <w:t>投入上限倍数γ</w:t>
            </w:r>
          </w:p>
        </w:tc>
        <w:tc>
          <w:tcPr>
            <w:tcW w:type="dxa" w:w="1512"/>
            <w:vAlign w:val="center"/>
            <w:shd w:fill="FFFFFF"/>
          </w:tcPr>
          <w:p>
            <w:pPr>
              <w:spacing w:line="259" w:lineRule="auto" w:after="20"/>
              <w:jc w:val="center"/>
            </w:pPr>
            <w:r>
              <w:rPr>
                <w:sz w:val="15"/>
              </w:rPr>
              <w:t>1.30</w:t>
            </w:r>
          </w:p>
        </w:tc>
        <w:tc>
          <w:tcPr>
            <w:tcW w:type="dxa" w:w="1944"/>
            <w:vAlign w:val="center"/>
            <w:shd w:fill="FFFFFF"/>
          </w:tcPr>
          <w:p>
            <w:pPr>
              <w:spacing w:line="259" w:lineRule="auto" w:after="20"/>
              <w:jc w:val="center"/>
            </w:pPr>
            <w:r>
              <w:rPr>
                <w:sz w:val="15"/>
              </w:rPr>
              <w:t>51,164.93</w:t>
            </w:r>
          </w:p>
        </w:tc>
        <w:tc>
          <w:tcPr>
            <w:tcW w:type="dxa" w:w="1872"/>
            <w:vAlign w:val="center"/>
            <w:shd w:fill="FFFFFF"/>
          </w:tcPr>
          <w:p>
            <w:pPr>
              <w:spacing w:line="259" w:lineRule="auto" w:after="20"/>
              <w:jc w:val="center"/>
            </w:pPr>
            <w:r>
              <w:rPr>
                <w:sz w:val="15"/>
              </w:rPr>
              <w:t>4,328.6</w:t>
            </w:r>
          </w:p>
        </w:tc>
        <w:tc>
          <w:tcPr>
            <w:tcW w:type="dxa" w:w="2088"/>
            <w:vAlign w:val="center"/>
            <w:shd w:fill="FFFFFF"/>
          </w:tcPr>
          <w:p>
            <w:pPr>
              <w:spacing w:line="259" w:lineRule="auto" w:after="20"/>
              <w:jc w:val="center"/>
            </w:pPr>
            <w:r>
              <w:rPr>
                <w:sz w:val="15"/>
              </w:rPr>
              <w:t>+0.40%</w:t>
            </w:r>
          </w:p>
        </w:tc>
      </w:tr>
      <w:tr>
        <w:tc>
          <w:tcPr>
            <w:tcW w:type="dxa" w:w="2304"/>
            <w:vAlign w:val="center"/>
            <w:shd w:fill="F3F7FC"/>
          </w:tcPr>
          <w:p>
            <w:pPr>
              <w:spacing w:line="259" w:lineRule="auto" w:after="20"/>
              <w:jc w:val="center"/>
            </w:pPr>
            <w:r>
              <w:rPr>
                <w:sz w:val="15"/>
              </w:rPr>
              <w:t>平滑强度C₀</w:t>
            </w:r>
          </w:p>
        </w:tc>
        <w:tc>
          <w:tcPr>
            <w:tcW w:type="dxa" w:w="1512"/>
            <w:vAlign w:val="center"/>
            <w:shd w:fill="F3F7FC"/>
          </w:tcPr>
          <w:p>
            <w:pPr>
              <w:spacing w:line="259" w:lineRule="auto" w:after="20"/>
              <w:jc w:val="center"/>
            </w:pPr>
            <w:r>
              <w:rPr>
                <w:sz w:val="15"/>
              </w:rPr>
              <w:t>4.03</w:t>
            </w:r>
          </w:p>
        </w:tc>
        <w:tc>
          <w:tcPr>
            <w:tcW w:type="dxa" w:w="1944"/>
            <w:vAlign w:val="center"/>
            <w:shd w:fill="F3F7FC"/>
          </w:tcPr>
          <w:p>
            <w:pPr>
              <w:spacing w:line="259" w:lineRule="auto" w:after="20"/>
              <w:jc w:val="center"/>
            </w:pPr>
            <w:r>
              <w:rPr>
                <w:sz w:val="15"/>
              </w:rPr>
              <w:t>51,164.93</w:t>
            </w:r>
          </w:p>
        </w:tc>
        <w:tc>
          <w:tcPr>
            <w:tcW w:type="dxa" w:w="1872"/>
            <w:vAlign w:val="center"/>
            <w:shd w:fill="F3F7FC"/>
          </w:tcPr>
          <w:p>
            <w:pPr>
              <w:spacing w:line="259" w:lineRule="auto" w:after="20"/>
              <w:jc w:val="center"/>
            </w:pPr>
            <w:r>
              <w:rPr>
                <w:sz w:val="15"/>
              </w:rPr>
              <w:t>4,518.0</w:t>
            </w:r>
          </w:p>
        </w:tc>
        <w:tc>
          <w:tcPr>
            <w:tcW w:type="dxa" w:w="2088"/>
            <w:vAlign w:val="center"/>
            <w:shd w:fill="F3F7FC"/>
          </w:tcPr>
          <w:p>
            <w:pPr>
              <w:spacing w:line="259" w:lineRule="auto" w:after="20"/>
              <w:jc w:val="center"/>
            </w:pPr>
            <w:r>
              <w:rPr>
                <w:sz w:val="15"/>
              </w:rPr>
              <w:t>+4.80%</w:t>
            </w:r>
          </w:p>
        </w:tc>
      </w:tr>
      <w:tr>
        <w:tc>
          <w:tcPr>
            <w:tcW w:type="dxa" w:w="2304"/>
            <w:vAlign w:val="center"/>
            <w:shd w:fill="FFFFFF"/>
          </w:tcPr>
          <w:p>
            <w:pPr>
              <w:spacing w:line="259" w:lineRule="auto" w:after="20"/>
              <w:jc w:val="center"/>
            </w:pPr>
            <w:r>
              <w:rPr>
                <w:sz w:val="15"/>
              </w:rPr>
              <w:t>平滑强度C₀</w:t>
            </w:r>
          </w:p>
        </w:tc>
        <w:tc>
          <w:tcPr>
            <w:tcW w:type="dxa" w:w="1512"/>
            <w:vAlign w:val="center"/>
            <w:shd w:fill="FFFFFF"/>
          </w:tcPr>
          <w:p>
            <w:pPr>
              <w:spacing w:line="259" w:lineRule="auto" w:after="20"/>
              <w:jc w:val="center"/>
            </w:pPr>
            <w:r>
              <w:rPr>
                <w:sz w:val="15"/>
              </w:rPr>
              <w:t>16.12</w:t>
            </w:r>
          </w:p>
        </w:tc>
        <w:tc>
          <w:tcPr>
            <w:tcW w:type="dxa" w:w="1944"/>
            <w:vAlign w:val="center"/>
            <w:shd w:fill="FFFFFF"/>
          </w:tcPr>
          <w:p>
            <w:pPr>
              <w:spacing w:line="259" w:lineRule="auto" w:after="20"/>
              <w:jc w:val="center"/>
            </w:pPr>
            <w:r>
              <w:rPr>
                <w:sz w:val="15"/>
              </w:rPr>
              <w:t>51,164.93</w:t>
            </w:r>
          </w:p>
        </w:tc>
        <w:tc>
          <w:tcPr>
            <w:tcW w:type="dxa" w:w="1872"/>
            <w:vAlign w:val="center"/>
            <w:shd w:fill="FFFFFF"/>
          </w:tcPr>
          <w:p>
            <w:pPr>
              <w:spacing w:line="259" w:lineRule="auto" w:after="20"/>
              <w:jc w:val="center"/>
            </w:pPr>
            <w:r>
              <w:rPr>
                <w:sz w:val="15"/>
              </w:rPr>
              <w:t>4,123.1</w:t>
            </w:r>
          </w:p>
        </w:tc>
        <w:tc>
          <w:tcPr>
            <w:tcW w:type="dxa" w:w="2088"/>
            <w:vAlign w:val="center"/>
            <w:shd w:fill="FFFFFF"/>
          </w:tcPr>
          <w:p>
            <w:pPr>
              <w:spacing w:line="259" w:lineRule="auto" w:after="20"/>
              <w:jc w:val="center"/>
            </w:pPr>
            <w:r>
              <w:rPr>
                <w:sz w:val="15"/>
              </w:rPr>
              <w:t>-4.36%</w:t>
            </w:r>
          </w:p>
        </w:tc>
      </w:tr>
      <w:tr>
        <w:tc>
          <w:tcPr>
            <w:tcW w:type="dxa" w:w="2304"/>
            <w:vAlign w:val="center"/>
            <w:shd w:fill="F3F7FC"/>
          </w:tcPr>
          <w:p>
            <w:pPr>
              <w:spacing w:line="259" w:lineRule="auto" w:after="20"/>
              <w:jc w:val="center"/>
            </w:pPr>
            <w:r>
              <w:rPr>
                <w:sz w:val="15"/>
              </w:rPr>
              <w:t>平滑强度C₀</w:t>
            </w:r>
          </w:p>
        </w:tc>
        <w:tc>
          <w:tcPr>
            <w:tcW w:type="dxa" w:w="1512"/>
            <w:vAlign w:val="center"/>
            <w:shd w:fill="F3F7FC"/>
          </w:tcPr>
          <w:p>
            <w:pPr>
              <w:spacing w:line="259" w:lineRule="auto" w:after="20"/>
              <w:jc w:val="center"/>
            </w:pPr>
            <w:r>
              <w:rPr>
                <w:sz w:val="15"/>
              </w:rPr>
              <w:t>50.00</w:t>
            </w:r>
          </w:p>
        </w:tc>
        <w:tc>
          <w:tcPr>
            <w:tcW w:type="dxa" w:w="1944"/>
            <w:vAlign w:val="center"/>
            <w:shd w:fill="F3F7FC"/>
          </w:tcPr>
          <w:p>
            <w:pPr>
              <w:spacing w:line="259" w:lineRule="auto" w:after="20"/>
              <w:jc w:val="center"/>
            </w:pPr>
            <w:r>
              <w:rPr>
                <w:sz w:val="15"/>
              </w:rPr>
              <w:t>51,164.93</w:t>
            </w:r>
          </w:p>
        </w:tc>
        <w:tc>
          <w:tcPr>
            <w:tcW w:type="dxa" w:w="1872"/>
            <w:vAlign w:val="center"/>
            <w:shd w:fill="F3F7FC"/>
          </w:tcPr>
          <w:p>
            <w:pPr>
              <w:spacing w:line="259" w:lineRule="auto" w:after="20"/>
              <w:jc w:val="center"/>
            </w:pPr>
            <w:r>
              <w:rPr>
                <w:sz w:val="15"/>
              </w:rPr>
              <w:t>3,889.9</w:t>
            </w:r>
          </w:p>
        </w:tc>
        <w:tc>
          <w:tcPr>
            <w:tcW w:type="dxa" w:w="2088"/>
            <w:vAlign w:val="center"/>
            <w:shd w:fill="F3F7FC"/>
          </w:tcPr>
          <w:p>
            <w:pPr>
              <w:spacing w:line="259" w:lineRule="auto" w:after="20"/>
              <w:jc w:val="center"/>
            </w:pPr>
            <w:r>
              <w:rPr>
                <w:sz w:val="15"/>
              </w:rPr>
              <w:t>-9.77%</w:t>
            </w:r>
          </w:p>
        </w:tc>
      </w:tr>
    </w:tbl>
    <w:p>
      <w:pPr>
        <w:spacing w:after="0"/>
      </w:pPr>
    </w:p>
    <w:p>
      <w:r>
        <w:t>结果显示，β在0.10至0.20之间变化时，预期注册量变化很小；γ在1.10至1.30之间变化时，预期注册量变化约为±0.4%，说明两个管理参数不会改变总体判断。</w:t>
      </w:r>
    </w:p>
    <w:p>
      <w:r>
        <w:t>C₀对结果的影响更明显：弱平滑保留更多原始效率差异，预测收益较高；随着C₀增大，关键词效率逐渐向推广单元平均水平收缩，优化收益下降。C₀=50时属于强平滑，会压平大部分正常关键词差异。因此正文采用由数据中位数确定的C₀=8.06，并把其他取值作为敏感性情景。</w:t>
      </w:r>
    </w:p>
    <w:p>
      <w:pPr>
        <w:pStyle w:val="Heading2"/>
      </w:pPr>
      <w:r>
        <w:t>9.3 敏感性检验结论</w:t>
      </w:r>
    </w:p>
    <w:p>
      <w:r>
        <w:t>在β和γ的合理变化范围内，模型预期注册量变化不足1%，预算均能完成且不超支。C₀变化会影响收益幅度，但各情景下优化方向保持一致，说明“平滑是必要的”，同时也说明不能把未经平滑得到的高提升直接作为结论。基准采用C₀=8.06、β=0.15、γ=1.20，兼顾小样本控制、关键词差异保留和投放可执行性。</w:t>
      </w:r>
    </w:p>
    <w:p>
      <w:pPr>
        <w:pStyle w:val="Heading1"/>
      </w:pPr>
      <w:r>
        <w:t>十 结论</w:t>
      </w:r>
    </w:p>
    <w:p>
      <w:r>
        <w:t>本文将方案ID与推广单元ID合并为唯一投放单元，以黄金词、重点词和潜力词组成候选集，以预期注册总量最大为目标，建立了包含预算、投入上下限、潜力词比例、投放单元关联和重复关键词互斥约束的混合整数线性规划模型。模型符号与result3.xlsx的九列字段可以逐一对应。</w:t>
      </w:r>
    </w:p>
    <w:p>
      <w:r>
        <w:t>基准求解采用目标日期原实际消费作为预算，16天投入总额为51,164.93元，预算完成率为100%，未超过预算。模型形成1123条关键词投放记录，预测点击量约62,495次、预测注册量约4,303人。与原记录相比，模型在同预算条件下把资金更多配置给历史效率较高的黄金词和重点词。</w:t>
      </w:r>
    </w:p>
    <w:p>
      <w:r>
        <w:t>时间结果显示，2月目标日期的点击效率低于全年平均水平，8月目标日期高于全年平均水平；但8月点击注册率相对较低，因此实际策略必须同时考虑点击获取效率和点击后的注册转化。本文的预期注册量基于整体点击注册率估计，附件没有关键词逐日注册归因，故数值属于模型预测而非真实归因结果。正式提交时应以最终result2.xlsx的分类和企业给定预算替换基准输入，并通过敏感性分析报告稳定区间。</w:t>
      </w:r>
    </w:p>
    <w:p>
      <w:r>
        <w:t>敏感性检验进一步表明，潜力词比例和投入上限的调整不会改变总体结论；平滑强度会影响预测提升幅度，因此将C₀=8.06作为数据驱动的基准值，并报告4.03、16.12和50三种情景。改变展位代表值后，各投放单元展位排序的秩相关系数不低于0.998。由此认为预算分配方向和相对展位判断总体稳定，但预测收益应结合平滑敏感性区间解释。</w:t>
      </w:r>
    </w:p>
    <w:sectPr w:rsidR="00FC693F" w:rsidRPr="0006063C" w:rsidSect="00034616">
      <w:footerReference w:type="default" r:id="rId22"/>
      <w:pgSz w:w="12240" w:h="15840"/>
      <w:pgMar w:top="979"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E题第三问  投放优化模型规范终稿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pPr>
    <w:rPr>
      <w:rFonts w:ascii="Noto Sans SC" w:hAnsi="Noto Sans SC" w:eastAsia="Noto Sans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SC" w:hAnsi="Noto Sans SC" w:eastAsia="Noto Sans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SC" w:hAnsi="Noto Sans SC" w:eastAsia="Noto Sans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SC" w:hAnsi="Noto Sans SC" w:eastAsia="Noto Sans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SC" w:hAnsi="Noto Sans SC" w:eastAsia="Noto Sans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第三问投放优化模型规范终稿</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