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第三问独立复核计算与最终模型</w:t>
      </w:r>
    </w:p>
    <w:p>
      <w:r>
        <w:rPr>
          <w:b/>
        </w:rPr>
        <w:t xml:space="preserve">复核结论 </w:t>
      </w:r>
      <w:r>
        <w:t>完全从附件1和关键词分类表重新计算后，图片中的结果不能由一套统一约束完整复现。图片的2月结果与本模型几乎一致，但8月结果隐含了另一种推广单元间调拨规则。采用统一、保守且可复算的线性规划后，16天总预算为51,164.93元，历史比例方案预计点击41,053次、注册2,807人；优化方案预计点击44,943次、注册3,061人。注册量提升9.05%，单位注册成本由18.23元降至16.71元。</w:t>
      </w:r>
    </w:p>
    <w:p>
      <w:pPr>
        <w:pStyle w:val="Heading1"/>
      </w:pPr>
      <w:r>
        <w:t>一 数据口径与独立核验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173B67"/>
          </w:tcPr>
          <w:p>
            <w:r>
              <w:rPr>
                <w:b/>
                <w:color w:val="FFFFFF"/>
                <w:sz w:val="16"/>
              </w:rPr>
              <w:t>核验项目</w:t>
            </w:r>
          </w:p>
        </w:tc>
        <w:tc>
          <w:tcPr>
            <w:tcW w:type="dxa" w:w="3600"/>
            <w:shd w:fill="173B67"/>
          </w:tcPr>
          <w:p>
            <w:r>
              <w:rPr>
                <w:b/>
                <w:color w:val="FFFFFF"/>
                <w:sz w:val="16"/>
              </w:rPr>
              <w:t>独立计算结果</w:t>
            </w:r>
          </w:p>
        </w:tc>
        <w:tc>
          <w:tcPr>
            <w:tcW w:type="dxa" w:w="3888"/>
            <w:shd w:fill="173B67"/>
          </w:tcPr>
          <w:p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944"/>
            <w:shd w:fill="FFFFFF"/>
          </w:tcPr>
          <w:p>
            <w:pPr>
              <w:jc w:val="center"/>
            </w:pPr>
            <w:r>
              <w:rPr>
                <w:sz w:val="16"/>
              </w:rPr>
              <w:t>关键词分类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6"/>
              </w:rPr>
              <w:t>黄金225 重点444 潜力442 问题226 无效890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6"/>
              </w:rPr>
              <w:t>共2227条，与分类表一致</w:t>
            </w:r>
          </w:p>
        </w:tc>
      </w:tr>
      <w:tr>
        <w:tc>
          <w:tcPr>
            <w:tcW w:type="dxa" w:w="1944"/>
            <w:shd w:fill="F3F7FC"/>
          </w:tcPr>
          <w:p>
            <w:pPr>
              <w:jc w:val="center"/>
            </w:pPr>
            <w:r>
              <w:rPr>
                <w:sz w:val="16"/>
              </w:rPr>
              <w:t>可投放关联记录</w:t>
            </w:r>
          </w:p>
        </w:tc>
        <w:tc>
          <w:tcPr>
            <w:tcW w:type="dxa" w:w="3600"/>
            <w:shd w:fill="F3F7FC"/>
          </w:tcPr>
          <w:p>
            <w:pPr>
              <w:jc w:val="center"/>
            </w:pPr>
            <w:r>
              <w:rPr>
                <w:sz w:val="16"/>
              </w:rPr>
              <w:t>黄金 重点 潜力共1111条</w:t>
            </w:r>
          </w:p>
        </w:tc>
        <w:tc>
          <w:tcPr>
            <w:tcW w:type="dxa" w:w="3888"/>
            <w:shd w:fill="F3F7FC"/>
          </w:tcPr>
          <w:p>
            <w:pPr>
              <w:jc w:val="center"/>
            </w:pPr>
            <w:r>
              <w:rPr>
                <w:sz w:val="16"/>
              </w:rPr>
              <w:t>仅这三类进入模型</w:t>
            </w:r>
          </w:p>
        </w:tc>
      </w:tr>
      <w:tr>
        <w:tc>
          <w:tcPr>
            <w:tcW w:type="dxa" w:w="1944"/>
            <w:shd w:fill="FFFFFF"/>
          </w:tcPr>
          <w:p>
            <w:pPr>
              <w:jc w:val="center"/>
            </w:pPr>
            <w:r>
              <w:rPr>
                <w:sz w:val="16"/>
              </w:rPr>
              <w:t>匹配关系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6"/>
              </w:rPr>
              <w:t>方案ID 推广单元ID 关键词三键匹配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6"/>
              </w:rPr>
              <w:t>1111条均能在附件1找到</w:t>
            </w:r>
          </w:p>
        </w:tc>
      </w:tr>
      <w:tr>
        <w:tc>
          <w:tcPr>
            <w:tcW w:type="dxa" w:w="1944"/>
            <w:shd w:fill="F3F7FC"/>
          </w:tcPr>
          <w:p>
            <w:pPr>
              <w:jc w:val="center"/>
            </w:pPr>
            <w:r>
              <w:rPr>
                <w:sz w:val="16"/>
              </w:rPr>
              <w:t>平滑常数</w:t>
            </w:r>
          </w:p>
        </w:tc>
        <w:tc>
          <w:tcPr>
            <w:tcW w:type="dxa" w:w="3600"/>
            <w:shd w:fill="F3F7FC"/>
          </w:tcPr>
          <w:p>
            <w:pPr>
              <w:jc w:val="center"/>
            </w:pPr>
            <w:r>
              <w:rPr>
                <w:sz w:val="16"/>
              </w:rPr>
              <w:t>正消费中位数 C0等于8.06</w:t>
            </w:r>
          </w:p>
        </w:tc>
        <w:tc>
          <w:tcPr>
            <w:tcW w:type="dxa" w:w="3888"/>
            <w:shd w:fill="F3F7FC"/>
          </w:tcPr>
          <w:p>
            <w:pPr>
              <w:jc w:val="center"/>
            </w:pPr>
            <w:r>
              <w:rPr>
                <w:sz w:val="16"/>
              </w:rPr>
              <w:t>不采用人为的50元</w:t>
            </w:r>
          </w:p>
        </w:tc>
      </w:tr>
      <w:tr>
        <w:tc>
          <w:tcPr>
            <w:tcW w:type="dxa" w:w="1944"/>
            <w:shd w:fill="FFFFFF"/>
          </w:tcPr>
          <w:p>
            <w:pPr>
              <w:jc w:val="center"/>
            </w:pPr>
            <w:r>
              <w:rPr>
                <w:sz w:val="16"/>
              </w:rPr>
              <w:t>目标日期预算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r>
              <w:rPr>
                <w:sz w:val="16"/>
              </w:rPr>
              <w:t>51,164.93元</w:t>
            </w:r>
          </w:p>
        </w:tc>
        <w:tc>
          <w:tcPr>
            <w:tcW w:type="dxa" w:w="3888"/>
            <w:shd w:fill="FFFFFF"/>
          </w:tcPr>
          <w:p>
            <w:pPr>
              <w:jc w:val="center"/>
            </w:pPr>
            <w:r>
              <w:rPr>
                <w:sz w:val="16"/>
              </w:rPr>
              <w:t>按附件1逐日汇总</w:t>
            </w:r>
          </w:p>
        </w:tc>
      </w:tr>
    </w:tbl>
    <w:p/>
    <w:p>
      <w:r>
        <w:t>零消费和零点击不是缺失值，不进行随意填补；问题词和无效词的投入固定为0。对于小额消费造成的异常高点击效率，采用经验贝叶斯平滑，并对平滑结果进行1%至99%分位缩尾。</w:t>
      </w:r>
    </w:p>
    <w:p>
      <w:pPr>
        <w:pStyle w:val="Heading1"/>
      </w:pPr>
      <w:r>
        <w:t>二 预测参数的计算</w:t>
      </w:r>
    </w:p>
    <w:p>
      <w:r>
        <w:t>记 i 为关键词，j 为推广单元，t 为日期。Cij、Kij、Vij分别为关键词历史投入、点击和浏览量；qj为推广单元历史点击效率。</w:t>
      </w:r>
    </w:p>
    <w:p>
      <w:pPr>
        <w:jc w:val="center"/>
      </w:pPr>
      <w:r>
        <w:rPr>
          <w:rFonts w:ascii="Cambria Math" w:hAnsi="Cambria Math"/>
          <w:sz w:val="23"/>
        </w:rPr>
        <w:t>q_j = (Σ_i K_ij) / (Σ_i C_ij)</w:t>
      </w:r>
      <w:r>
        <w:t xml:space="preserve">    （1）</w:t>
      </w:r>
    </w:p>
    <w:p>
      <w:pPr>
        <w:jc w:val="center"/>
      </w:pPr>
      <w:r>
        <w:rPr>
          <w:rFonts w:ascii="Cambria Math" w:hAnsi="Cambria Math"/>
          <w:sz w:val="23"/>
        </w:rPr>
        <w:t>η_ij = [(K_ij + q_j C_0) / (C_ij + C_0)] / q_j，  C_0 = 8.06</w:t>
      </w:r>
      <w:r>
        <w:t xml:space="preserve">    （2）</w:t>
      </w:r>
    </w:p>
    <w:p>
      <w:r>
        <w:t>ηij表示关键词相对于所属推广单元的平滑相对效率。消费越少，ηij越向1收缩；消费越充分，越保留关键词自身表现。</w:t>
      </w:r>
    </w:p>
    <w:p>
      <w:pPr>
        <w:jc w:val="center"/>
      </w:pPr>
      <w:r>
        <w:rPr>
          <w:rFonts w:ascii="Cambria Math" w:hAnsi="Cambria Math"/>
          <w:sz w:val="23"/>
        </w:rPr>
        <w:t>θ_t = [(K_t^0 / C_t^0)] / q̄，    ρ_t = R_t^0 / K_t^0</w:t>
      </w:r>
      <w:r>
        <w:t xml:space="preserve">    （3）</w:t>
      </w:r>
    </w:p>
    <w:p>
      <w:r>
        <w:t>θt为日期效率修正系数，ρt为当天点击转化为注册的比例。上标0表示历史观测值。由此得到关键词的预期效果：</w:t>
      </w:r>
    </w:p>
    <w:p>
      <w:pPr>
        <w:jc w:val="center"/>
      </w:pPr>
      <w:r>
        <w:rPr>
          <w:rFonts w:ascii="Cambria Math" w:hAnsi="Cambria Math"/>
          <w:sz w:val="23"/>
        </w:rPr>
        <w:t>K̂_ijt = q_j η_ij θ_t b_ijt，  V̂_ijt = d_ij K̂_ijt，  R̂_ijt = ρ_t K̂_ijt</w:t>
      </w:r>
      <w:r>
        <w:t xml:space="preserve">    （4）</w:t>
      </w:r>
    </w:p>
    <w:p>
      <w:r>
        <w:t>其中bijt为决策投入，dij=Vij/Kij为平均每次点击产生的浏览量。</w:t>
      </w:r>
    </w:p>
    <w:p>
      <w:pPr>
        <w:pStyle w:val="Heading1"/>
      </w:pPr>
      <w:r>
        <w:t>三 统一的线性规划模型</w:t>
      </w:r>
    </w:p>
    <w:p>
      <w:r>
        <w:t>目标是在每日预算固定的条件下最大化16天预期注册总量。因为ρt在同一天对全部关键词相同，按日最大化注册量与最大化点击量等价，但论文仍保留注册量目标以对应题意。</w:t>
      </w:r>
    </w:p>
    <w:p>
      <w:pPr>
        <w:jc w:val="center"/>
      </w:pPr>
      <w:r>
        <w:rPr>
          <w:rFonts w:ascii="Cambria Math" w:hAnsi="Cambria Math"/>
          <w:sz w:val="23"/>
        </w:rPr>
        <w:t>max Z = Σ_t Σ_j Σ_i R̂_ijt</w:t>
      </w:r>
      <w:r>
        <w:t xml:space="preserve">    （5）</w:t>
      </w:r>
    </w:p>
    <w:p>
      <w:pPr>
        <w:jc w:val="center"/>
      </w:pPr>
      <w:r>
        <w:rPr>
          <w:rFonts w:ascii="Cambria Math" w:hAnsi="Cambria Math"/>
          <w:sz w:val="23"/>
        </w:rPr>
        <w:t>Σ_j Σ_i b_ijt = B_t</w:t>
      </w:r>
      <w:r>
        <w:t xml:space="preserve">    （6）</w:t>
      </w:r>
    </w:p>
    <w:p>
      <w:pPr>
        <w:jc w:val="center"/>
      </w:pPr>
      <w:r>
        <w:rPr>
          <w:rFonts w:ascii="Cambria Math" w:hAnsi="Cambria Math"/>
          <w:sz w:val="23"/>
        </w:rPr>
        <w:t>0.85 B_jt ≤ Σ_i b_ijt ≤ 1.15 B_jt</w:t>
      </w:r>
      <w:r>
        <w:t xml:space="preserve">    （7）</w:t>
      </w:r>
    </w:p>
    <w:p>
      <w:pPr>
        <w:jc w:val="center"/>
      </w:pPr>
      <w:r>
        <w:rPr>
          <w:rFonts w:ascii="Cambria Math" w:hAnsi="Cambria Math"/>
          <w:sz w:val="23"/>
        </w:rPr>
        <w:t>0 ≤ b_ijt ≤ 1.20 s_ij B_jt</w:t>
      </w:r>
      <w:r>
        <w:t xml:space="preserve">    （8）</w:t>
      </w:r>
    </w:p>
    <w:p>
      <w:pPr>
        <w:jc w:val="center"/>
      </w:pPr>
      <w:r>
        <w:rPr>
          <w:rFonts w:ascii="Cambria Math" w:hAnsi="Cambria Math"/>
          <w:sz w:val="23"/>
        </w:rPr>
        <w:t>Σ_(i∈P_j) b_ijt ≤ β_j Σ_i b_ijt</w:t>
      </w:r>
      <w:r>
        <w:t xml:space="preserve">    （9）</w:t>
      </w:r>
    </w:p>
    <w:p>
      <w:r>
        <w:t>Bt为日期总预算，Bjt为该日推广单元历史预算，sij为关键词在该单元中的历史消费份额。式（7）允许推广单元预算在历史值上下15%范围内调拨；式（8）限制单个关键词不超过其历史比例投入的1.2倍，避免资金集中到少数偶然高效词。Pj为潜力词集合，βj取15%与该单元历史潜力词占比中的较大值，既控制试投风险，也保证模型可行。黄金词、重点词和潜力词可以投放，问题词与无效词投入为0。</w:t>
      </w:r>
    </w:p>
    <w:p>
      <w:r>
        <w:t>15%不是从原始数据直接计算出的自然常数，而是风险控制参数。它比完全固定单元预算更灵活，又比无限制跨单元调拨更稳健。论文应明确说明该参数，并用上下10%和20%进行敏感性检验。</w:t>
      </w:r>
    </w:p>
    <w:p>
      <w:pPr>
        <w:pStyle w:val="Heading1"/>
      </w:pPr>
      <w:r>
        <w:t>四 独立求解结果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72"/>
            <w:shd w:fill="173B67"/>
          </w:tcPr>
          <w:p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944"/>
            <w:shd w:fill="173B67"/>
          </w:tcPr>
          <w:p>
            <w:r>
              <w:rPr>
                <w:b/>
                <w:color w:val="FFFFFF"/>
                <w:sz w:val="16"/>
              </w:rPr>
              <w:t>投入金额</w:t>
            </w:r>
          </w:p>
        </w:tc>
        <w:tc>
          <w:tcPr>
            <w:tcW w:type="dxa" w:w="2016"/>
            <w:shd w:fill="173B67"/>
          </w:tcPr>
          <w:p>
            <w:r>
              <w:rPr>
                <w:b/>
                <w:color w:val="FFFFFF"/>
                <w:sz w:val="16"/>
              </w:rPr>
              <w:t>预期点击量</w:t>
            </w:r>
          </w:p>
        </w:tc>
        <w:tc>
          <w:tcPr>
            <w:tcW w:type="dxa" w:w="2016"/>
            <w:shd w:fill="173B67"/>
          </w:tcPr>
          <w:p>
            <w:r>
              <w:rPr>
                <w:b/>
                <w:color w:val="FFFFFF"/>
                <w:sz w:val="16"/>
              </w:rPr>
              <w:t>预期注册量</w:t>
            </w:r>
          </w:p>
        </w:tc>
        <w:tc>
          <w:tcPr>
            <w:tcW w:type="dxa" w:w="2160"/>
            <w:shd w:fill="173B67"/>
          </w:tcPr>
          <w:p>
            <w:r>
              <w:rPr>
                <w:b/>
                <w:color w:val="FFFFFF"/>
                <w:sz w:val="16"/>
              </w:rPr>
              <w:t>单位注册成本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6"/>
              </w:rPr>
              <w:t>历史比例</w:t>
            </w:r>
          </w:p>
        </w:tc>
        <w:tc>
          <w:tcPr>
            <w:tcW w:type="dxa" w:w="1944"/>
            <w:shd w:fill="FFFFFF"/>
          </w:tcPr>
          <w:p>
            <w:pPr>
              <w:jc w:val="center"/>
            </w:pPr>
            <w:r>
              <w:rPr>
                <w:sz w:val="16"/>
              </w:rPr>
              <w:t>51,164.93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sz w:val="16"/>
              </w:rPr>
              <w:t>41,052.9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sz w:val="16"/>
              </w:rPr>
              <w:t>2,807.3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6"/>
              </w:rPr>
              <w:t>18.23</w:t>
            </w:r>
          </w:p>
        </w:tc>
      </w:tr>
      <w:tr>
        <w:tc>
          <w:tcPr>
            <w:tcW w:type="dxa" w:w="1872"/>
            <w:shd w:fill="F3F7FC"/>
          </w:tcPr>
          <w:p>
            <w:pPr>
              <w:jc w:val="center"/>
            </w:pPr>
            <w:r>
              <w:rPr>
                <w:sz w:val="16"/>
              </w:rPr>
              <w:t>优化方案</w:t>
            </w:r>
          </w:p>
        </w:tc>
        <w:tc>
          <w:tcPr>
            <w:tcW w:type="dxa" w:w="1944"/>
            <w:shd w:fill="F3F7FC"/>
          </w:tcPr>
          <w:p>
            <w:pPr>
              <w:jc w:val="center"/>
            </w:pPr>
            <w:r>
              <w:rPr>
                <w:sz w:val="16"/>
              </w:rPr>
              <w:t>51,164.93</w:t>
            </w:r>
          </w:p>
        </w:tc>
        <w:tc>
          <w:tcPr>
            <w:tcW w:type="dxa" w:w="2016"/>
            <w:shd w:fill="F3F7FC"/>
          </w:tcPr>
          <w:p>
            <w:pPr>
              <w:jc w:val="center"/>
            </w:pPr>
            <w:r>
              <w:rPr>
                <w:sz w:val="16"/>
              </w:rPr>
              <w:t>44,943.4</w:t>
            </w:r>
          </w:p>
        </w:tc>
        <w:tc>
          <w:tcPr>
            <w:tcW w:type="dxa" w:w="2016"/>
            <w:shd w:fill="F3F7FC"/>
          </w:tcPr>
          <w:p>
            <w:pPr>
              <w:jc w:val="center"/>
            </w:pPr>
            <w:r>
              <w:rPr>
                <w:sz w:val="16"/>
              </w:rPr>
              <w:t>3,061.3</w:t>
            </w:r>
          </w:p>
        </w:tc>
        <w:tc>
          <w:tcPr>
            <w:tcW w:type="dxa" w:w="2160"/>
            <w:shd w:fill="F3F7FC"/>
          </w:tcPr>
          <w:p>
            <w:pPr>
              <w:jc w:val="center"/>
            </w:pPr>
            <w:r>
              <w:rPr>
                <w:sz w:val="16"/>
              </w:rPr>
              <w:t>16.71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6"/>
              </w:rPr>
              <w:t>变化</w:t>
            </w:r>
          </w:p>
        </w:tc>
        <w:tc>
          <w:tcPr>
            <w:tcW w:type="dxa" w:w="194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sz w:val="16"/>
              </w:rPr>
              <w:t>+9.48%</w:t>
            </w:r>
          </w:p>
        </w:tc>
        <w:tc>
          <w:tcPr>
            <w:tcW w:type="dxa" w:w="2016"/>
            <w:shd w:fill="FFFFFF"/>
          </w:tcPr>
          <w:p>
            <w:pPr>
              <w:jc w:val="center"/>
            </w:pPr>
            <w:r>
              <w:rPr>
                <w:sz w:val="16"/>
              </w:rPr>
              <w:t>+9.05%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6"/>
              </w:rPr>
              <w:t>-8.30%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fill="173B67"/>
          </w:tcPr>
          <w:p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440"/>
            <w:shd w:fill="173B67"/>
          </w:tcPr>
          <w:p>
            <w:r>
              <w:rPr>
                <w:b/>
                <w:color w:val="FFFFFF"/>
                <w:sz w:val="16"/>
              </w:rPr>
              <w:t>预算</w:t>
            </w:r>
          </w:p>
        </w:tc>
        <w:tc>
          <w:tcPr>
            <w:tcW w:type="dxa" w:w="1440"/>
            <w:shd w:fill="173B67"/>
          </w:tcPr>
          <w:p>
            <w:r>
              <w:rPr>
                <w:b/>
                <w:color w:val="FFFFFF"/>
                <w:sz w:val="16"/>
              </w:rPr>
              <w:t>历史点击</w:t>
            </w:r>
          </w:p>
        </w:tc>
        <w:tc>
          <w:tcPr>
            <w:tcW w:type="dxa" w:w="1440"/>
            <w:shd w:fill="173B67"/>
          </w:tcPr>
          <w:p>
            <w:r>
              <w:rPr>
                <w:b/>
                <w:color w:val="FFFFFF"/>
                <w:sz w:val="16"/>
              </w:rPr>
              <w:t>优化点击</w:t>
            </w:r>
          </w:p>
        </w:tc>
        <w:tc>
          <w:tcPr>
            <w:tcW w:type="dxa" w:w="1368"/>
            <w:shd w:fill="173B67"/>
          </w:tcPr>
          <w:p>
            <w:r>
              <w:rPr>
                <w:b/>
                <w:color w:val="FFFFFF"/>
                <w:sz w:val="16"/>
              </w:rPr>
              <w:t>历史注册</w:t>
            </w:r>
          </w:p>
        </w:tc>
        <w:tc>
          <w:tcPr>
            <w:tcW w:type="dxa" w:w="1368"/>
            <w:shd w:fill="173B67"/>
          </w:tcPr>
          <w:p>
            <w:r>
              <w:rPr>
                <w:b/>
                <w:color w:val="FFFFFF"/>
                <w:sz w:val="16"/>
              </w:rPr>
              <w:t>优化注册</w:t>
            </w:r>
          </w:p>
        </w:tc>
        <w:tc>
          <w:tcPr>
            <w:tcW w:type="dxa" w:w="1080"/>
            <w:shd w:fill="173B67"/>
          </w:tcPr>
          <w:p>
            <w:r>
              <w:rPr>
                <w:b/>
                <w:color w:val="FFFFFF"/>
                <w:sz w:val="16"/>
              </w:rPr>
              <w:t>提升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02-01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803.04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281.8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305.5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42.0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8.4%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02-02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1,155.04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419.8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453.3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49.1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53.0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8.0%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02-03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1,403.28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469.2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499.7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57.6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61.4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6.5%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02-04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1,806.39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594.9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634.2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74.1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79.0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6.6%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02-05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2,007.82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672.5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717.2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100.8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107.5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6.6%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02-06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2,043.97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633.0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675.0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88.7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94.6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6.6%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02-07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2,523.34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859.6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925.9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96.5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103.9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7.7%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02-08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1,938.27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803.8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867.5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105.6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114.0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7.9%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08-01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5,722.87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7,114.6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7,901.3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351.5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390.4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11.1%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08-02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5,515.84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6,553.1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7,295.5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318.6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354.6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11.3%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08-03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2,422.25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1,897.8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2,047.5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166.8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179.9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7.9%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08-04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2,364.28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1,799.2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1,941.2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177.9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191.9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7.9%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08-05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4,530.61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4,047.8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4,412.7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296.4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323.1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9.0%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08-06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5,300.02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4,986.9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5,450.3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313.0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342.1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9.3%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6"/>
              </w:rPr>
              <w:t>08-07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5,703.81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4,989.7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sz w:val="16"/>
              </w:rPr>
              <w:t>5,448.6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302.3</w:t>
            </w:r>
          </w:p>
        </w:tc>
        <w:tc>
          <w:tcPr>
            <w:tcW w:type="dxa" w:w="1368"/>
            <w:shd w:fill="FFFFFF"/>
          </w:tcPr>
          <w:p>
            <w:pPr>
              <w:jc w:val="center"/>
            </w:pPr>
            <w:r>
              <w:rPr>
                <w:sz w:val="16"/>
              </w:rPr>
              <w:t>330.1</w:t>
            </w:r>
          </w:p>
        </w:tc>
        <w:tc>
          <w:tcPr>
            <w:tcW w:type="dxa" w:w="1080"/>
            <w:shd w:fill="FFFFFF"/>
          </w:tcPr>
          <w:p>
            <w:pPr>
              <w:jc w:val="center"/>
            </w:pPr>
            <w:r>
              <w:rPr>
                <w:sz w:val="16"/>
              </w:rPr>
              <w:t>9.2%</w:t>
            </w:r>
          </w:p>
        </w:tc>
      </w:tr>
      <w:tr>
        <w:tc>
          <w:tcPr>
            <w:tcW w:type="dxa" w:w="1008"/>
            <w:shd w:fill="F3F7FC"/>
          </w:tcPr>
          <w:p>
            <w:pPr>
              <w:jc w:val="center"/>
            </w:pPr>
            <w:r>
              <w:rPr>
                <w:sz w:val="16"/>
              </w:rPr>
              <w:t>08-08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5,924.10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4,929.3</w:t>
            </w:r>
          </w:p>
        </w:tc>
        <w:tc>
          <w:tcPr>
            <w:tcW w:type="dxa" w:w="1440"/>
            <w:shd w:fill="F3F7FC"/>
          </w:tcPr>
          <w:p>
            <w:pPr>
              <w:jc w:val="center"/>
            </w:pPr>
            <w:r>
              <w:rPr>
                <w:sz w:val="16"/>
              </w:rPr>
              <w:t>5,368.0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269.9</w:t>
            </w:r>
          </w:p>
        </w:tc>
        <w:tc>
          <w:tcPr>
            <w:tcW w:type="dxa" w:w="1368"/>
            <w:shd w:fill="F3F7FC"/>
          </w:tcPr>
          <w:p>
            <w:pPr>
              <w:jc w:val="center"/>
            </w:pPr>
            <w:r>
              <w:rPr>
                <w:sz w:val="16"/>
              </w:rPr>
              <w:t>293.9</w:t>
            </w:r>
          </w:p>
        </w:tc>
        <w:tc>
          <w:tcPr>
            <w:tcW w:type="dxa" w:w="1080"/>
            <w:shd w:fill="F3F7FC"/>
          </w:tcPr>
          <w:p>
            <w:pPr>
              <w:jc w:val="center"/>
            </w:pPr>
            <w:r>
              <w:rPr>
                <w:sz w:val="16"/>
              </w:rPr>
              <w:t>8.9%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逐日效果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图1 同预算下历史比例方案与优化方案逐日效果对比</w:t>
      </w:r>
    </w:p>
    <w:p>
      <w:r>
        <w:t>图1显示，优化方案在全部16个目标日期均提高点击量和注册量。8月总量较大，但点击到注册的转化率低于2月，因此只追求点击量会高估8月投放价值。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逐日提升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图2 优化方案逐日注册量提升率</w:t>
      </w:r>
    </w:p>
    <w:p>
      <w:r>
        <w:t>逐日注册提升约6.5%至11.9%，不存在由单个异常日期拉高总结果的情况。</w:t>
      </w:r>
    </w:p>
    <w:p>
      <w:pPr>
        <w:pStyle w:val="Heading1"/>
      </w:pPr>
      <w:r>
        <w:t>五 与图片结果的核对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fill="173B67"/>
          </w:tcPr>
          <w:p>
            <w:r>
              <w:rPr>
                <w:b/>
                <w:color w:val="FFFFFF"/>
                <w:sz w:val="16"/>
              </w:rPr>
              <w:t>核对内容</w:t>
            </w:r>
          </w:p>
        </w:tc>
        <w:tc>
          <w:tcPr>
            <w:tcW w:type="dxa" w:w="2520"/>
            <w:shd w:fill="173B67"/>
          </w:tcPr>
          <w:p>
            <w:r>
              <w:rPr>
                <w:b/>
                <w:color w:val="FFFFFF"/>
                <w:sz w:val="16"/>
              </w:rPr>
              <w:t>图片结果</w:t>
            </w:r>
          </w:p>
        </w:tc>
        <w:tc>
          <w:tcPr>
            <w:tcW w:type="dxa" w:w="2520"/>
            <w:shd w:fill="173B67"/>
          </w:tcPr>
          <w:p>
            <w:r>
              <w:rPr>
                <w:b/>
                <w:color w:val="FFFFFF"/>
                <w:sz w:val="16"/>
              </w:rPr>
              <w:t>独立计算</w:t>
            </w:r>
          </w:p>
        </w:tc>
        <w:tc>
          <w:tcPr>
            <w:tcW w:type="dxa" w:w="2592"/>
            <w:shd w:fill="173B67"/>
          </w:tcPr>
          <w:p>
            <w:r>
              <w:rPr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800"/>
            <w:shd w:fill="FFFFFF"/>
          </w:tcPr>
          <w:p>
            <w:pPr>
              <w:jc w:val="center"/>
            </w:pPr>
            <w:r>
              <w:rPr>
                <w:sz w:val="16"/>
              </w:rPr>
              <w:t>2月逐日结果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sz w:val="16"/>
              </w:rPr>
              <w:t>点击约305至867 注册约42至114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sz w:val="16"/>
              </w:rPr>
              <w:t>与图片仅有四舍五入级差异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sz w:val="16"/>
              </w:rPr>
              <w:t>可以复现</w:t>
            </w:r>
          </w:p>
        </w:tc>
      </w:tr>
      <w:tr>
        <w:tc>
          <w:tcPr>
            <w:tcW w:type="dxa" w:w="1800"/>
            <w:shd w:fill="F3F7FC"/>
          </w:tcPr>
          <w:p>
            <w:pPr>
              <w:jc w:val="center"/>
            </w:pPr>
            <w:r>
              <w:rPr>
                <w:sz w:val="16"/>
              </w:rPr>
              <w:t>8月逐日结果</w:t>
            </w:r>
          </w:p>
        </w:tc>
        <w:tc>
          <w:tcPr>
            <w:tcW w:type="dxa" w:w="2520"/>
            <w:shd w:fill="F3F7FC"/>
          </w:tcPr>
          <w:p>
            <w:pPr>
              <w:jc w:val="center"/>
            </w:pPr>
            <w:r>
              <w:rPr>
                <w:sz w:val="16"/>
              </w:rPr>
              <w:t>点击约2051至7887</w:t>
            </w:r>
          </w:p>
        </w:tc>
        <w:tc>
          <w:tcPr>
            <w:tcW w:type="dxa" w:w="2520"/>
            <w:shd w:fill="F3F7FC"/>
          </w:tcPr>
          <w:p>
            <w:pPr>
              <w:jc w:val="center"/>
            </w:pPr>
            <w:r>
              <w:rPr>
                <w:sz w:val="16"/>
              </w:rPr>
              <w:t>点击约1941至7901</w:t>
            </w:r>
          </w:p>
        </w:tc>
        <w:tc>
          <w:tcPr>
            <w:tcW w:type="dxa" w:w="2592"/>
            <w:shd w:fill="F3F7FC"/>
          </w:tcPr>
          <w:p>
            <w:pPr>
              <w:jc w:val="center"/>
            </w:pPr>
            <w:r>
              <w:rPr>
                <w:sz w:val="16"/>
              </w:rPr>
              <w:t>不能由固定单元预算规则复现</w:t>
            </w:r>
          </w:p>
        </w:tc>
      </w:tr>
      <w:tr>
        <w:tc>
          <w:tcPr>
            <w:tcW w:type="dxa" w:w="1800"/>
            <w:shd w:fill="FFFFFF"/>
          </w:tcPr>
          <w:p>
            <w:pPr>
              <w:jc w:val="center"/>
            </w:pPr>
            <w:r>
              <w:rPr>
                <w:sz w:val="16"/>
              </w:rPr>
              <w:t>16天优化点击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sz w:val="16"/>
              </w:rPr>
              <w:t>约45050</w:t>
            </w:r>
          </w:p>
        </w:tc>
        <w:tc>
          <w:tcPr>
            <w:tcW w:type="dxa" w:w="2520"/>
            <w:shd w:fill="FFFFFF"/>
          </w:tcPr>
          <w:p>
            <w:pPr>
              <w:jc w:val="center"/>
            </w:pPr>
            <w:r>
              <w:rPr>
                <w:sz w:val="16"/>
              </w:rPr>
              <w:t>44943.4</w:t>
            </w:r>
          </w:p>
        </w:tc>
        <w:tc>
          <w:tcPr>
            <w:tcW w:type="dxa" w:w="2592"/>
            <w:shd w:fill="FFFFFF"/>
          </w:tcPr>
          <w:p>
            <w:pPr>
              <w:jc w:val="center"/>
            </w:pPr>
            <w:r>
              <w:rPr>
                <w:sz w:val="16"/>
              </w:rPr>
              <w:t>相差约107次</w:t>
            </w:r>
          </w:p>
        </w:tc>
      </w:tr>
      <w:tr>
        <w:tc>
          <w:tcPr>
            <w:tcW w:type="dxa" w:w="1800"/>
            <w:shd w:fill="F3F7FC"/>
          </w:tcPr>
          <w:p>
            <w:pPr>
              <w:jc w:val="center"/>
            </w:pPr>
            <w:r>
              <w:rPr>
                <w:sz w:val="16"/>
              </w:rPr>
              <w:t>16天优化注册</w:t>
            </w:r>
          </w:p>
        </w:tc>
        <w:tc>
          <w:tcPr>
            <w:tcW w:type="dxa" w:w="2520"/>
            <w:shd w:fill="F3F7FC"/>
          </w:tcPr>
          <w:p>
            <w:pPr>
              <w:jc w:val="center"/>
            </w:pPr>
            <w:r>
              <w:rPr>
                <w:sz w:val="16"/>
              </w:rPr>
              <w:t>约3075</w:t>
            </w:r>
          </w:p>
        </w:tc>
        <w:tc>
          <w:tcPr>
            <w:tcW w:type="dxa" w:w="2520"/>
            <w:shd w:fill="F3F7FC"/>
          </w:tcPr>
          <w:p>
            <w:pPr>
              <w:jc w:val="center"/>
            </w:pPr>
            <w:r>
              <w:rPr>
                <w:sz w:val="16"/>
              </w:rPr>
              <w:t>3061.3</w:t>
            </w:r>
          </w:p>
        </w:tc>
        <w:tc>
          <w:tcPr>
            <w:tcW w:type="dxa" w:w="2592"/>
            <w:shd w:fill="F3F7FC"/>
          </w:tcPr>
          <w:p>
            <w:pPr>
              <w:jc w:val="center"/>
            </w:pPr>
            <w:r>
              <w:rPr>
                <w:sz w:val="16"/>
              </w:rPr>
              <w:t>相差约14人</w:t>
            </w:r>
          </w:p>
        </w:tc>
      </w:tr>
    </w:tbl>
    <w:p/>
    <w:p>
      <w:r>
        <w:t>因此，图片中的总量虽然接近独立结果，但不能直接认定为同一模型的正确输出。最可能的原因是图片在8月允许了额外的推广单元间预算转移，而2月仍按原单元预算求解。论文中不宜把两种规则拼接。本文最终采用统一的上下15%调拨规则，结果略低但更容易解释和复算。</w:t>
      </w:r>
    </w:p>
    <w:p>
      <w:pPr>
        <w:pStyle w:val="Heading1"/>
      </w:pPr>
      <w:r>
        <w:t>六 求解检验与最终结论</w:t>
      </w:r>
    </w:p>
    <w:p>
      <w:r>
        <w:t>线性规划在16个日期均成功收敛；每日投入之和严格等于预算，总投入误差小于0.01元。模型共输出10,022条正投入的日期 方案 推广单元 关键词记录。所有问题词和无效词投入为0，单个关键词上限和推广单元上下15%约束均满足。</w:t>
      </w:r>
    </w:p>
    <w:p>
      <w:r>
        <w:t>最终建议在论文中采用本次独立复核结果：总预算51,164.93元，优化后预计点击44,943.4次、注册3,061.3人；相对同口径历史比例方案，点击提高9.48%，注册提高9.05%，单位注册成本下降8.30%。该结论基于用户最终关键词分类、C0等于8.06的平滑处理和统一的线性规划约束，不使用用户上传图片中的数值作为计算输入。</w:t>
      </w:r>
    </w:p>
    <w:sectPr w:rsidR="00FC693F" w:rsidRPr="0006063C" w:rsidSect="00034616">
      <w:footerReference w:type="default" r:id="rId11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E题第三问 独立复核终稿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