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第四问数据处理与Python完整复现说明</w:t>
      </w:r>
    </w:p>
    <w:p>
      <w:pPr>
        <w:pStyle w:val="Subtitle"/>
        <w:jc w:val="center"/>
      </w:pPr>
      <w:r>
        <w:t>从原始数据到最优策略、预测区间与result4.xlsx</w:t>
      </w:r>
    </w:p>
    <w:p>
      <w:r>
        <w:t>本文说明第四问的全部计算过程。程序只读取附件1和问题二最终关键词分类表，不读取人工填写的结果图；所有结果均由Python重新计算。核心工具为pandas、NumPy和SciPy，输出包括逐日最优策略、关键词级效果范围、result4.xlsx及论文汇总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76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建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图1 第四问Python计算流程</w:t>
      </w:r>
    </w:p>
    <w:p>
      <w:pPr>
        <w:pStyle w:val="Heading1"/>
      </w:pPr>
      <w:r>
        <w:t>一 输入数据与运行环境</w:t>
      </w:r>
    </w:p>
    <w:p>
      <w:pPr>
        <w:pStyle w:val="Heading2"/>
      </w:pPr>
      <w:r>
        <w:t>1.1 输入文件</w:t>
      </w:r>
    </w:p>
    <w:p>
      <w:r>
        <w:t>附件1包含三个工作表：Sheet1为推广单元日度投放数据，包含日期、方案ID、推广单元ID、展现量、点击量、消费额、上方位展现量和上方首位展现量；Sheet2为日度新注册数；Sheet3为关键词历史消费、点击和浏览数据。问题二分类表提供黄金词、重点词、潜力词、问题词和无效词。第四问只允许前三类进入候选集。</w:t>
      </w:r>
    </w:p>
    <w:p>
      <w:pPr>
        <w:pStyle w:val="Heading2"/>
      </w:pPr>
      <w:r>
        <w:t>1.2 Python环境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import os, json</w:t>
        <w:br/>
        <w:t>import numpy as np</w:t>
        <w:br/>
        <w:t>import pandas as pd</w:t>
        <w:br/>
        <w:t>from scipy.optimize import linprog, nnls</w:t>
      </w:r>
    </w:p>
    <w:p>
      <w:r>
        <w:t>pandas负责读取、连接和汇总；NumPy负责矩阵和随机模拟；nnls估计非负滞后系数；linprog使用HiGHS算法求解线性规划。Bootstrap固定随机种子20260912，使结果可以重复。</w:t>
      </w:r>
    </w:p>
    <w:p>
      <w:pPr>
        <w:pStyle w:val="Heading1"/>
      </w:pPr>
      <w:r>
        <w:t>二 原始数据读取与基础清洗</w:t>
      </w:r>
    </w:p>
    <w:p>
      <w:pPr>
        <w:pStyle w:val="Heading2"/>
      </w:pPr>
      <w:r>
        <w:t>2.1 读取与字段标准化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s1 = pd.read_excel('附件1.xlsx', 'Sheet1')</w:t>
        <w:br/>
        <w:t>s2 = pd.read_excel('附件1.xlsx', 'Sheet2')</w:t>
        <w:br/>
        <w:t>s3 = pd.read_excel('附件1.xlsx', 'Sheet3')</w:t>
        <w:br/>
        <w:t>for df in (s1, s2, s3):</w:t>
        <w:br/>
        <w:t xml:space="preserve">    df.columns = df.columns.str.strip()</w:t>
        <w:br/>
        <w:t>s1['日期'] = pd.to_datetime(s1['日期'])</w:t>
      </w:r>
    </w:p>
    <w:p>
      <w:r>
        <w:t>先删除列名前后的空格，日期统一为datetime。消费额、点击量、展现量和浏览量统一转换为数值；不能转换的内容记为缺失，再根据字段含义处理。点击量或展现量为0时不直接计算比率，防止产生无穷值。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for c in ['展现量','点击量','消费额','上方位展现量','上方首位展现量']:</w:t>
        <w:br/>
        <w:t xml:space="preserve">    s1[c] = pd.to_numeric(s1[c], errors='coerce').fillna(0)</w:t>
        <w:br/>
        <w:t>for c in ['消费额','点击量','浏览量']:</w:t>
        <w:br/>
        <w:t xml:space="preserve">    s3[c] = pd.to_numeric(s3[c], errors='coerce').fillna(0)</w:t>
      </w:r>
    </w:p>
    <w:p>
      <w:pPr>
        <w:pStyle w:val="Heading2"/>
      </w:pPr>
      <w:r>
        <w:t>2.2 联合键与时间变量</w:t>
      </w:r>
    </w:p>
    <w:p>
      <w:r>
        <w:t>使用“方案ID_推广单元ID”构造联合键，保证Sheet1和Sheet3按同一推广单元连接。月份和星期用于固定效应回归；Python中星期0—6依次表示星期一至星期日。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s1['单元键'] = s1['方案ID'].astype(str)+'_'+s1['推广单元ID'].astype(str)</w:t>
        <w:br/>
        <w:t>s3['单元键'] = s3['方案ID'].astype(str)+'_'+s3['推广单元ID'].astype(str)</w:t>
        <w:br/>
        <w:t>s1['月份'] = s1['日期'].dt.month</w:t>
        <w:br/>
        <w:t>s1['星期'] = s1['日期'].dt.dayofweek</w:t>
      </w:r>
    </w:p>
    <w:p>
      <w:pPr>
        <w:pStyle w:val="Heading1"/>
      </w:pPr>
      <w:r>
        <w:t>三 历史指标计算与异常处理</w:t>
      </w:r>
    </w:p>
    <w:p>
      <w:pPr>
        <w:pStyle w:val="Heading2"/>
      </w:pPr>
      <w:r>
        <w:t>3.1 CPC、CTR和展现位</w:t>
      </w:r>
    </w:p>
    <w:p>
      <w:r>
        <w:t>CPC等于消费额除以点击量，CTR等于点击量除以展现量。平均展现位用首位、上方其他位置和其余位置的展现量加权近似，三个位置分别赋值1、2.5和4。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s1['CPC'] = np.where(s1['点击量']&gt;0, s1['消费额']/s1['点击量'], np.nan)</w:t>
        <w:br/>
        <w:t>s1['CTR'] = np.where(s1['展现量']&gt;0, s1['点击量']/s1['展现量'], np.nan)</w:t>
        <w:br/>
        <w:t>s1['展位'] = np.where(s1['展现量']&gt;0,</w:t>
        <w:br/>
        <w:t xml:space="preserve"> (s1['上方首位展现量'] + 2.5*np.maximum(s1['上方位展现量']-s1['上方首位展现量'],0)</w:t>
        <w:br/>
        <w:t xml:space="preserve"> + 4*np.maximum(s1['展现量']-s1['上方位展现量'],0))/s1['展现量'], np.nan)</w:t>
      </w:r>
    </w:p>
    <w:p>
      <w:pPr>
        <w:pStyle w:val="Heading2"/>
      </w:pPr>
      <w:r>
        <w:t>3.2 关键词效率平滑和缩尾</w:t>
      </w:r>
    </w:p>
    <w:p>
      <w:r>
        <w:t>为避免低消费关键词出现异常高效率，先用经验贝叶斯方法将其向所属推广单元平均水平收缩，再对候选关键词相对效率进行1%—99%分位缩尾。C₀取有效关键词消费额的中位数8.06，得到缩尾边界0.2105和2.7816。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C0 = s3.loc[s3['消费额']&gt;0, '消费额'].median()</w:t>
        <w:br/>
        <w:t>s3['eta0'] = ((s3['点击量']+s3['qj']*C0)/(s3['消费额']+C0))/s3['qj']</w:t>
        <w:br/>
        <w:t>lo, hi = s3.loc[candidate,'eta0'].quantile([0.01,0.99])</w:t>
        <w:br/>
        <w:t>s3['eta'] = s3['eta0'].clip(lo,hi)</w:t>
        <w:br/>
        <w:t>s3['eta26'] = 1 + 0.50*(s3['eta']-1)</w:t>
      </w:r>
    </w:p>
    <w:p>
      <w:r>
        <w:t>eta0等于1表示与推广单元平均效率相同。eta26再按跨年度系数0.50向1收缩，表示只保留一半历史相对差异，降低直接外推至2026年的风险。</w:t>
      </w:r>
    </w:p>
    <w:p>
      <w:pPr>
        <w:pStyle w:val="Heading1"/>
      </w:pPr>
      <w:r>
        <w:t>四 2026年参数预测</w:t>
      </w:r>
    </w:p>
    <w:p>
      <w:pPr>
        <w:pStyle w:val="Heading2"/>
      </w:pPr>
      <w:r>
        <w:t>4.1 固定效应岭回归</w:t>
      </w:r>
    </w:p>
    <w:p>
      <w:r>
        <w:t>分别对CPC、CTR和展现位建立推广单元、月份和星期固定效应回归。CPC取对数，CTR取Logit变换，展现位直接回归；岭惩罚系数取0.8，用于缓解虚拟变量较多时的系数波动，但不惩罚常数项。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keys = ['单元键','月份','星期']</w:t>
        <w:br/>
        <w:t>X = pd.get_dummies(data[keys].astype(str), columns=keys, dtype=float)</w:t>
        <w:br/>
        <w:t>X = np.c_[np.ones(len(X)), X.to_numpy()]</w:t>
        <w:br/>
        <w:t>P = np.eye(X.shape[1])*0.8</w:t>
        <w:br/>
        <w:t>P[0,0] = 0</w:t>
        <w:br/>
        <w:t>beta = np.linalg.solve(X.T@X + P, X.T@y)</w:t>
      </w:r>
    </w:p>
    <w:p>
      <w:r>
        <w:t>目标日期明确设置为2026年9月11—17日。中心预测再与2025年同月同日观测值按ω=0.50校准，以兼顾长期回归趋势与同期特征；注册率不使用异常的同期“注册数/点击数”直接校准。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targets = pd.date_range('2026-09-11','2026-09-17')</w:t>
        <w:br/>
        <w:t>w = 0.50</w:t>
        <w:br/>
        <w:t>CPC_new = np.exp(w*np.log(CPC_same)+(1-w)*np.log(CPC_reg))</w:t>
      </w:r>
    </w:p>
    <w:p>
      <w:pPr>
        <w:pStyle w:val="Heading2"/>
      </w:pPr>
      <w:r>
        <w:t>4.2 点击—注册滞后模型</w:t>
      </w:r>
    </w:p>
    <w:p>
      <w:r>
        <w:t>注册可能发生在点击后的1—2天，因此用当天、前1天和前2天点击量解释当天注册数，并要求三个系数非负。这避免把9月15—17日超过50%的表观当日注册率直接当作真实转化率。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daily['K0'] = daily['点击量']</w:t>
        <w:br/>
        <w:t>daily['K1'] = daily['点击量'].shift(1)</w:t>
        <w:br/>
        <w:t>daily['K2'] = daily['点击量'].shift(2)</w:t>
        <w:br/>
        <w:t>beta, _ = nnls(lag[['K0','K1','K2']].to_numpy(), lag['新注册数'].to_numpy())</w:t>
      </w:r>
    </w:p>
    <w:p>
      <w:r>
        <w:t>估计得到β₀=0.0860、β₁=0.0020、β₂=0.0089，合计为0.0968，表示考虑0—2日滞后后每次点击最终约对应0.0968次注册。</w:t>
      </w:r>
    </w:p>
    <w:p>
      <w:pPr>
        <w:pStyle w:val="Heading1"/>
      </w:pPr>
      <w:r>
        <w:t>五 分类连接与候选集生成</w:t>
      </w:r>
    </w:p>
    <w:p>
      <w:r>
        <w:t>分类表原来是宽表，程序先用melt转换成长表，再按方案ID、推广单元和关键词与Sheet3连接。只有历史消费和点击均大于0，且属于黄金词、重点词或潜力词的记录进入优化。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long = cls.melt(id_vars=['方案ID','推广单元','序号'],</w:t>
        <w:br/>
        <w:t xml:space="preserve"> value_vars=['黄金词','重点词','潜力词','问题词','无效词'],</w:t>
        <w:br/>
        <w:t xml:space="preserve"> var_name='类型', value_name='关键词').dropna()</w:t>
        <w:br/>
        <w:t>kw = long.merge(s3, left_on=['方案ID','推广单元','关键词'],</w:t>
        <w:br/>
        <w:t xml:space="preserve"> right_on=['方案ID','推广单元ID','关键词'], how='inner')</w:t>
        <w:br/>
        <w:t>candidate = ((kw['消费额']&gt;0) &amp; (kw['点击量']&gt;0) &amp;</w:t>
        <w:br/>
        <w:t xml:space="preserve"> kw['类型'].isin(['黄金词','重点词','潜力词']))</w:t>
      </w:r>
    </w:p>
    <w:p>
      <w:r>
        <w:t>最终得到922条投入金额大于0的“日期—推广单元—关键词”投放记录。922是优化后的有效记录数，不等于分类表中的关键词总数。</w:t>
      </w:r>
    </w:p>
    <w:p>
      <w:pPr>
        <w:pStyle w:val="Heading1"/>
      </w:pPr>
      <w:r>
        <w:t>六 线性规划求解</w:t>
      </w:r>
    </w:p>
    <w:p>
      <w:pPr>
        <w:pStyle w:val="Heading2"/>
      </w:pPr>
      <w:r>
        <w:t>6.1 目标系数</w:t>
      </w:r>
    </w:p>
    <w:p>
      <w:r>
        <w:t>将推广单元CPC除以关键词相对效率得到关键词预期点击成本；其倒数是每元点击量；再乘预测注册率得到每元注册量。模型以七日预期注册量最大为目标。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a['cpc'] = a['CPC预测']/a['eta26']</w:t>
        <w:br/>
        <w:t>a['每元点击'] = 1/a['cpc']</w:t>
        <w:br/>
        <w:t>a['每元注册'] = a['注册率预测']/a['cpc']</w:t>
        <w:br/>
        <w:t>a['obj'] = a['每元注册']</w:t>
      </w:r>
    </w:p>
    <w:p>
      <w:pPr>
        <w:pStyle w:val="Heading2"/>
      </w:pPr>
      <w:r>
        <w:t>6.2 约束与求解器</w:t>
      </w:r>
    </w:p>
    <w:p>
      <w:r>
        <w:t>约束包括：七日总投入等于23,488.02元；推广单元每日预算为同期的85%—115%；单关键词投入不超过历史份额容量；潜力词比例不超过15%；所有投入非负。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res = linprog(-a['obj'].to_numpy(),</w:t>
        <w:br/>
        <w:t xml:space="preserve"> A_ub=np.array(A), b_ub=np.array(ub),</w:t>
        <w:br/>
        <w:t xml:space="preserve"> A_eq=[np.ones(n)], b_eq=[B_total],</w:t>
        <w:br/>
        <w:t xml:space="preserve"> bounds=[(0,cap) for cap in caps], method='highs')</w:t>
        <w:br/>
        <w:t>if not res.success:</w:t>
        <w:br/>
        <w:t xml:space="preserve">    raise RuntimeError(res.message)</w:t>
        <w:br/>
        <w:t>a['投入金额'] = res.x</w:t>
      </w:r>
    </w:p>
    <w:p>
      <w:r>
        <w:t>linprog执行最小化，所以目标系数取负号实现最大化。只有求解器返回success才输出结果；如果约束不可行，程序直接报错，不会自动取消约束。</w:t>
      </w:r>
    </w:p>
    <w:p>
      <w:pPr>
        <w:pStyle w:val="Heading1"/>
      </w:pPr>
      <w:r>
        <w:t>七 投放效果换算</w:t>
      </w:r>
    </w:p>
    <w:p>
      <w:r>
        <w:t>保留最优投入大于0的记录，再计算点击、展现、浏览和注册量；预期展位取所属推广单元对应日期的预测展现位。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a = a[a['投入金额']&gt;1e-7].copy()</w:t>
        <w:br/>
        <w:t>a['预期点击量'] = a['投入金额']/a['cpc']</w:t>
        <w:br/>
        <w:t>a['预期展现量'] = a['预期点击量']/a['CTR预测']</w:t>
        <w:br/>
        <w:t>a['预期浏览量'] = a['预期点击量']*a['depth']</w:t>
        <w:br/>
        <w:t>a['预期注册量'] = a['预期点击量']*a['注册率预测']</w:t>
      </w:r>
    </w:p>
    <w:p>
      <w:pPr>
        <w:pStyle w:val="Heading1"/>
      </w:pPr>
      <w:r>
        <w:t>八 80%经验范围计算</w:t>
      </w:r>
    </w:p>
    <w:p>
      <w:r>
        <w:t>从CPC、CTR和注册模型的历史残差中有放回抽样，进行2,000次模拟。每次在固定中心情景最优投入方案的条件下重新计算效果，取10%分位数为下限、90%分位数为上限。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rng = np.random.default_rng(20260912)</w:t>
        <w:br/>
        <w:t>S = 2000</w:t>
        <w:br/>
        <w:t>for q in range(S):</w:t>
        <w:br/>
        <w:t xml:space="preserve">    cpc_error = rng.choice(cpc_residuals, len(plan))</w:t>
        <w:br/>
        <w:t xml:space="preserve">    ctr_error = rng.choice(ctr_residuals, len(plan))</w:t>
        <w:br/>
        <w:t xml:space="preserve">    reg_error = rng.choice(reg_residuals, len(plan))</w:t>
        <w:br/>
        <w:t xml:space="preserve">    # 扰动参数并重新计算各项效果</w:t>
        <w:br/>
        <w:t>lower = simulation.quantile(0.10)</w:t>
        <w:br/>
        <w:t>upper = simulation.quantile(0.90)</w:t>
      </w:r>
    </w:p>
    <w:p>
      <w:r>
        <w:t>该范围反映既定最优策略下的预测波动，因此称为80%经验范围，而不是严格的参数置信区间。七日总量区间对每次模拟的七日合计取分位数，不能直接把每日下限和上限相加。</w:t>
      </w:r>
    </w:p>
    <w:p>
      <w:pPr>
        <w:pStyle w:val="Heading1"/>
      </w:pPr>
      <w:r>
        <w:t>九 result4.xlsx生成</w:t>
      </w:r>
    </w:p>
    <w:p>
      <w:r>
        <w:t>第一张工作表严格按照附件2九列模板输出日期、方案ID、推广单元、关键词、投入金额、预期展位、预期点击量、预期浏览量和预期注册量。第二张表补充竞价、展现量及六项指标的中心值、下限和上限。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main = plan[['日期','方案ID','推广单元','关键词','投入金额',</w:t>
        <w:br/>
        <w:t xml:space="preserve"> '预期展位','预期点击量','预期浏览量','预期注册量']]</w:t>
        <w:br/>
        <w:t>main.to_excel(writer, sheet_name='最优投放策略', index=False)</w:t>
        <w:br/>
        <w:t>detail.to_excel(writer, sheet_name='指标期望范围', index=False)</w:t>
      </w:r>
    </w:p>
    <w:p>
      <w:pPr>
        <w:pStyle w:val="Heading1"/>
      </w:pPr>
      <w:r>
        <w:t>十 结果与核验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36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投入/元</w:t>
            </w:r>
          </w:p>
        </w:tc>
        <w:tc>
          <w:tcPr>
            <w:tcW w:type="dxa" w:w="100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记录数</w:t>
            </w:r>
          </w:p>
        </w:tc>
        <w:tc>
          <w:tcPr>
            <w:tcW w:type="dxa" w:w="1224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点击量</w:t>
            </w:r>
          </w:p>
        </w:tc>
        <w:tc>
          <w:tcPr>
            <w:tcW w:type="dxa" w:w="136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浏览量</w:t>
            </w:r>
          </w:p>
        </w:tc>
        <w:tc>
          <w:tcPr>
            <w:tcW w:type="dxa" w:w="1152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注册量</w:t>
            </w:r>
          </w:p>
        </w:tc>
        <w:tc>
          <w:tcPr>
            <w:tcW w:type="dxa" w:w="136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注册成本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09-11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6,783.14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4,908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22,186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11.36</w:t>
            </w:r>
          </w:p>
        </w:tc>
      </w:tr>
      <w:tr>
        <w:tc>
          <w:tcPr>
            <w:tcW w:type="dxa" w:w="1080"/>
            <w:shd w:fill="EAF2F8"/>
          </w:tcPr>
          <w:p>
            <w:pPr>
              <w:jc w:val="center"/>
            </w:pPr>
            <w:r>
              <w:rPr>
                <w:sz w:val="16"/>
              </w:rPr>
              <w:t>09-12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5,082.85</w:t>
            </w:r>
          </w:p>
        </w:tc>
        <w:tc>
          <w:tcPr>
            <w:tcW w:type="dxa" w:w="1008"/>
            <w:shd w:fill="EAF2F8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224"/>
            <w:shd w:fill="EAF2F8"/>
          </w:tcPr>
          <w:p>
            <w:pPr>
              <w:jc w:val="center"/>
            </w:pPr>
            <w:r>
              <w:rPr>
                <w:sz w:val="16"/>
              </w:rPr>
              <w:t>3,984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18,855</w:t>
            </w:r>
          </w:p>
        </w:tc>
        <w:tc>
          <w:tcPr>
            <w:tcW w:type="dxa" w:w="1152"/>
            <w:shd w:fill="EAF2F8"/>
          </w:tcPr>
          <w:p>
            <w:pPr>
              <w:jc w:val="center"/>
            </w:pPr>
            <w:r>
              <w:rPr>
                <w:sz w:val="16"/>
              </w:rPr>
              <w:t>463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10.97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09-13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4,807.95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3,775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17,298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11.39</w:t>
            </w:r>
          </w:p>
        </w:tc>
      </w:tr>
      <w:tr>
        <w:tc>
          <w:tcPr>
            <w:tcW w:type="dxa" w:w="1080"/>
            <w:shd w:fill="EAF2F8"/>
          </w:tcPr>
          <w:p>
            <w:pPr>
              <w:jc w:val="center"/>
            </w:pPr>
            <w:r>
              <w:rPr>
                <w:sz w:val="16"/>
              </w:rPr>
              <w:t>09-14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5,217.65</w:t>
            </w:r>
          </w:p>
        </w:tc>
        <w:tc>
          <w:tcPr>
            <w:tcW w:type="dxa" w:w="1008"/>
            <w:shd w:fill="EAF2F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224"/>
            <w:shd w:fill="EAF2F8"/>
          </w:tcPr>
          <w:p>
            <w:pPr>
              <w:jc w:val="center"/>
            </w:pPr>
            <w:r>
              <w:rPr>
                <w:sz w:val="16"/>
              </w:rPr>
              <w:t>3,845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16,521</w:t>
            </w:r>
          </w:p>
        </w:tc>
        <w:tc>
          <w:tcPr>
            <w:tcW w:type="dxa" w:w="1152"/>
            <w:shd w:fill="EAF2F8"/>
          </w:tcPr>
          <w:p>
            <w:pPr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11.54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09-15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615.63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685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3,781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6.78</w:t>
            </w:r>
          </w:p>
        </w:tc>
      </w:tr>
      <w:tr>
        <w:tc>
          <w:tcPr>
            <w:tcW w:type="dxa" w:w="1080"/>
            <w:shd w:fill="EAF2F8"/>
          </w:tcPr>
          <w:p>
            <w:pPr>
              <w:jc w:val="center"/>
            </w:pPr>
            <w:r>
              <w:rPr>
                <w:sz w:val="16"/>
              </w:rPr>
              <w:t>09-16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482.63</w:t>
            </w:r>
          </w:p>
        </w:tc>
        <w:tc>
          <w:tcPr>
            <w:tcW w:type="dxa" w:w="1008"/>
            <w:shd w:fill="EAF2F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  <w:shd w:fill="EAF2F8"/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2,921</w:t>
            </w:r>
          </w:p>
        </w:tc>
        <w:tc>
          <w:tcPr>
            <w:tcW w:type="dxa" w:w="1152"/>
            <w:shd w:fill="EAF2F8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368"/>
            <w:shd w:fill="EAF2F8"/>
          </w:tcPr>
          <w:p>
            <w:pPr>
              <w:jc w:val="center"/>
            </w:pPr>
            <w:r>
              <w:rPr>
                <w:sz w:val="16"/>
              </w:rPr>
              <w:t>6.79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09-17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498.17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3,330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6"/>
              </w:rPr>
              <w:t>7.32</w:t>
            </w:r>
          </w:p>
        </w:tc>
      </w:tr>
    </w:tbl>
    <w:p/>
    <w:p>
      <w:r>
        <w:t>七日合计投入23,488.02元，预计展现613,531次、点击18,331次、浏览84,892次、注册2,164人，注册量80%经验范围为1,980—2,593人。</w:t>
      </w:r>
    </w:p>
    <w:p>
      <w:r>
        <w:t>核验内容包括：求解器成功；投入金额非负；预算汇总误差小于10⁻⁶元；推广单元、关键词容量和潜力词约束全部满足；逐关键词结果、逐日汇总、论文表格和result4.xlsx一致；中心预测均位于相应经验范围内。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69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算成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图2 每日投入金额与单位注册成本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69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注册区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图3 每日预期注册量及80%经验范围</w:t>
      </w:r>
    </w:p>
    <w:p>
      <w:pPr>
        <w:pStyle w:val="Heading1"/>
      </w:pPr>
      <w:r>
        <w:t>十一 完整运行顺序</w:t>
      </w:r>
    </w:p>
    <w:p>
      <w:r>
        <w:t>将附件1、问题二分类表和程序放在同一项目目录，依次运行求解、结果整理和Excel导出程序。不要在中途手工修改plan.csv或summary.csv。</w:t>
      </w:r>
    </w:p>
    <w:p>
      <w:pPr>
        <w:ind w:left="259" w:right="173"/>
        <w:shd w:fill="F3F5F7"/>
      </w:pPr>
      <w:r>
        <w:rPr>
          <w:rFonts w:ascii="Consolas" w:hAnsi="Consolas" w:eastAsia="Noto Sans SC"/>
          <w:sz w:val="16"/>
        </w:rPr>
        <w:t>python solve_q4_revised.py</w:t>
        <w:br/>
        <w:t>python prepare_result4_json.py</w:t>
        <w:br/>
        <w:t>node build_result4.mjs</w:t>
      </w:r>
    </w:p>
    <w:p>
      <w:r>
        <w:t>中间文件包括unit_predictions.csv、plan.csv、summary.csv和results.json；最终文件为result4.xlsx。输入数据、参数和随机种子不变时，可以重复得到相同结果。</w:t>
      </w:r>
    </w:p>
    <w:p>
      <w:pPr>
        <w:pStyle w:val="Heading1"/>
      </w:pPr>
      <w:r>
        <w:t>十二 计算口径说明</w:t>
      </w:r>
    </w:p>
    <w:p>
      <w:r>
        <w:t>附件没有真实平台出价字段，因此用关键词预期平均点击成本代理竞价。9月15—17日注册成本较低，是因为预测CPC较低而滞后修正注册率仍较稳定，并非直接采用异常的当日注册率。Bootstrap评价的是固定最优方案的效果风险，没有在2,000次模拟中重复优化关键词组合。跨年度系数、同期权重、单元预算浮动和关键词上浮倍数属于基准情景参数，需要结合敏感性检验解释。</w:t>
      </w:r>
    </w:p>
    <w:sectPr w:rsidR="00FC693F" w:rsidRPr="0006063C" w:rsidSect="00034616">
      <w:footerReference w:type="default" r:id="rId12"/>
      <w:pgSz w:w="12240" w:h="15840"/>
      <w:pgMar w:top="979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第四问 Python复现说明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Noto Sans SC" w:hAnsi="Noto Sans SC" w:eastAsia="Noto Sans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312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12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12" w:lineRule="auto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