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第四问不确定条件下SEM投放策略分析与求解</w:t>
      </w:r>
    </w:p>
    <w:p>
      <w:pPr>
        <w:pStyle w:val="Subtitle"/>
        <w:jc w:val="center"/>
      </w:pPr>
      <w:r>
        <w:t>九字段生成模型 线性规划 结果换算与可视化</w:t>
      </w:r>
    </w:p>
    <w:p>
      <w:r>
        <w:t>本问利用2025年历史投放数据和问题二关键词分类结果，预测2026年9月11日至17日的投放效果，并在总预算不超过2025年同期投入的条件下优化关键词预算。模型预计七日投入23,488.02元，获得18,331次点击、84,892次浏览和2,164次注册，注册量80%经验区间为1,980至2,593人。</w:t>
      </w:r>
    </w:p>
    <w:p>
      <w:r>
        <w:t>基本下标说明：i表示关键词，j表示推广单元，t表示日期；Iⱼ、J和T分别表示候选关键词、推广单元和目标日期集合。后文不再重复解释。</w:t>
      </w:r>
    </w:p>
    <w:p>
      <w:pPr>
        <w:pStyle w:val="Heading1"/>
      </w:pPr>
      <w:r>
        <w:t>一 问题分解与数据预处理</w:t>
      </w:r>
    </w:p>
    <w:p>
      <w:pPr>
        <w:pStyle w:val="Heading2"/>
      </w:pPr>
      <w:r>
        <w:t>1.1 问题分解</w:t>
      </w:r>
    </w:p>
    <w:p>
      <w:r>
        <w:t>本问分为四项任务：第一，确定9月11日至17日每天投放的关键词及投入金额；第二，以预期平均点击成本作为竞价代理值，估计关键词竞价范围；第三，估计展现量、展现位、点击量、浏览量和注册量的中心值及经验范围；第四，将逐关键词最优策略写入result4.xlsx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76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建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19"/>
        </w:rPr>
        <w:t>图1 第四问建模与求解流程</w:t>
      </w:r>
    </w:p>
    <w:p>
      <w:pPr>
        <w:pStyle w:val="Heading2"/>
      </w:pPr>
      <w:r>
        <w:t>1.2 数据预处理</w:t>
      </w:r>
    </w:p>
    <w:p>
      <w:r>
        <w:t>首先将附件1中的2025年日度投放数据与问题二关键词分类表连接，只保留黄金词、重点词和潜力词。随后统一日期、方案ID和推广单元ID，处理缺失值、异常值及跨单元重复关键词，并计算CPC、CTR、浏览深度和关键词历史消费份额。</w:t>
      </w:r>
    </w:p>
    <w:p>
      <w:r>
        <w:t>具体处理为：按方案ID、推广单元ID和关键词连接两类数据；仅保留黄金词、重点词和潜力词；对效率指标进行1%至99%分位缩尾；采用C₀=8.06的经验贝叶斯方法平滑低消费关键词；最后以2025年数据预测2026年9月11日至17日。</w:t>
      </w:r>
    </w:p>
    <w:p>
      <w:r>
        <w:t>处理后得到922条最终投放记录。关键词相对效率的缩尾范围为0.210至2.782。</w:t>
      </w:r>
    </w:p>
    <w:p>
      <w:pPr>
        <w:pStyle w:val="Heading1"/>
      </w:pPr>
      <w:r>
        <w:t>二 参数预测</w:t>
      </w:r>
    </w:p>
    <w:p>
      <w:r>
        <w:t>本部分预测规划模型需要的推广单元CPC、CTR和展位，并修正点击与注册不同步的问题。为避免回归公式过长，三个指标统一写成固定效应回归形式。</w:t>
      </w:r>
    </w:p>
    <w:p>
      <w:pPr>
        <w:pStyle w:val="Heading2"/>
      </w:pPr>
      <w:r>
        <w:t>2.1 CPC CTR和展位预测</w:t>
      </w:r>
    </w:p>
    <w:p>
      <w:r>
        <w:t>固定效应回归用于分离推广单元差异、月份差异和星期差异：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525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符号说明：yⱼₜ为经过相应变换后的待预测指标；β₀为常数项；αⱼ、μₘ和νw分别为推广单元、月份和星期固定效应；εⱼₜ为随机误差。CPC取自然对数，CTR取Logit变换，展位直接回归。</w:t>
      </w:r>
    </w:p>
    <w:p>
      <w:pPr>
        <w:pStyle w:val="Heading2"/>
      </w:pPr>
      <w:r>
        <w:t>2.2 点击注册滞后归因</w:t>
      </w:r>
    </w:p>
    <w:p>
      <w:r>
        <w:t>考虑注册可能在点击后发生，采用0至2日非负分布滞后模型：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525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符号说明：Rₜ为日期t登记的注册量；Kₜ、Kₜ₋₁、Kₜ₋₂为当天、前1天和前2天点击量；β₀、β₁、β₂为非负滞后系数；εₜ为随机误差。</w:t>
      </w:r>
    </w:p>
    <w:p>
      <w:r>
        <w:t>估计得到β₀=0.0860、β₁=0.0020、β₂=0.0089，合计点击注册率为0.0968。预测值再与2025年同期观测值按权重ω=0.5进行校准，以兼顾长期规律和同期特征。</w:t>
      </w:r>
    </w:p>
    <w:p>
      <w:pPr>
        <w:pStyle w:val="Heading1"/>
      </w:pPr>
      <w:r>
        <w:t>三 单位投入效益参数构建</w:t>
      </w:r>
    </w:p>
    <w:p>
      <w:pPr>
        <w:pStyle w:val="Heading2"/>
      </w:pPr>
      <w:r>
        <w:t>3.1 单位投入效益参数</w:t>
      </w:r>
    </w:p>
    <w:p>
      <w:r>
        <w:t>将关键词点击成本、每元点击量和每元注册量集中写为：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20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7至9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符号说明：ĉⱼₜ为推广单元CPC预测值；ηᵢⱼ⁽²⁶⁾为关键词相对效率；ρ̂ₜ为滞后修正后的注册率；eᵢⱼₜ⁽²⁶⁾为进入目标函数的每元注册量。</w:t>
      </w:r>
    </w:p>
    <w:p>
      <w:pPr>
        <w:pStyle w:val="Heading1"/>
      </w:pPr>
      <w:r>
        <w:t>四 关键词投放线性规划模型</w:t>
      </w:r>
    </w:p>
    <w:p>
      <w:pPr>
        <w:pStyle w:val="Heading2"/>
      </w:pPr>
      <w:r>
        <w:t>4.1 决策变量</w:t>
      </w:r>
    </w:p>
    <w:p>
      <w:r>
        <w:t>第四问沿用第三问“最大化预期注册量”的目标结构，只把历史效率替换为2026年预测效率。设bᵢⱼₜ为日期t在推广单元j中给关键词i分配的投入金额。</w:t>
      </w:r>
    </w:p>
    <w:p>
      <w:pPr>
        <w:pStyle w:val="Heading2"/>
      </w:pPr>
      <w:r>
        <w:t>4.2 目标函数</w:t>
      </w:r>
    </w:p>
    <w:p>
      <w:r>
        <w:t>在预算一定时，使所有关键词带来的预期注册总量最大：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525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符号说明：Z⁽²⁶⁾为七日预期注册总量；T、J和Iⱼ分别为日期、推广单元和候选关键词集合；eᵢⱼₜ⁽²⁶⁾为每元预期注册量；bᵢⱼₜ为投入金额。</w:t>
      </w:r>
    </w:p>
    <w:p>
      <w:pPr>
        <w:pStyle w:val="Heading2"/>
      </w:pPr>
      <w:r>
        <w:t>4.3 约束条件</w:t>
      </w:r>
    </w:p>
    <w:p>
      <w:r>
        <w:t>约束条件集中控制总预算、推广单元稳定性、单关键词容量、潜力词比例和候选词范围：</w:t>
      </w:r>
    </w:p>
    <w:p>
      <w:pPr>
        <w:pStyle w:val="Heading2"/>
      </w:pPr>
      <w:r>
        <w:t>4.3.1 总预算约束</w:t>
      </w:r>
    </w:p>
    <w:p>
      <w:pPr>
        <w:keepNext/>
      </w:pPr>
      <w:r>
        <w:t>总预算不得超过2025年同期投入B。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2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4.3.2 推广单元稳定性约束</w:t>
      </w:r>
    </w:p>
    <w:p>
      <w:pPr>
        <w:keepNext/>
      </w:pPr>
      <w:r>
        <w:t>推广单元预算相对同期水平最多上下浮动15%。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2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4.3.3 单关键词容量约束</w:t>
      </w:r>
    </w:p>
    <w:p>
      <w:pPr>
        <w:keepNext/>
      </w:pPr>
      <w:r>
        <w:t>单关键词投入不超过其历史份额允许的容量。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2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4.3.4 潜力词比例约束</w:t>
      </w:r>
    </w:p>
    <w:p>
      <w:pPr>
        <w:keepNext/>
      </w:pPr>
      <w:r>
        <w:t>潜力词投入比例不超过给定上限。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2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4.3.5 候选词与非负约束</w:t>
      </w:r>
    </w:p>
    <w:p>
      <w:pPr>
        <w:keepNext/>
      </w:pPr>
      <w:r>
        <w:t>只有符合分类和历史关联关系的关键词可以获得投入。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20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主要参数取B=23,488.02元，单元浮动范围为85%至115%，关键词上浮倍数γ=1.2，潜力词比例上限为15%。这些取值与第三问保持一致，便于两问衔接。</w:t>
      </w:r>
    </w:p>
    <w:p>
      <w:pPr>
        <w:pStyle w:val="Heading1"/>
      </w:pPr>
      <w:r>
        <w:t>五 模型求解</w:t>
      </w:r>
    </w:p>
    <w:p>
      <w:pPr>
        <w:pStyle w:val="Heading2"/>
      </w:pPr>
      <w:r>
        <w:t>5.1 求解方法</w:t>
      </w:r>
    </w:p>
    <w:p>
      <w:r>
        <w:t>将预测得到的每元注册效率和预算参数代入线性规划模型，使用线性规划求解器计算最优投入bᵢⱼₜ*。求解顺序为：生成候选记录，计算目标系数，建立约束矩阵，求得最优投入，再检查预算和各项约束。</w:t>
      </w:r>
    </w:p>
    <w:p>
      <w:pPr>
        <w:pStyle w:val="Heading2"/>
      </w:pPr>
      <w:r>
        <w:t>5.2 参数设置</w:t>
      </w:r>
    </w:p>
    <w:p>
      <w:r>
        <w:t>总预算B取23,488.02元，以满足不超过2025年同期投入的要求；平滑常数C₀取8.06，与第三问保持一致；跨年度系数δ和同期权重ω均取0.50，以兼顾历史趋势与同期特征；推广单元预算控制在同期的85%至115%，关键词上浮倍数γ取1.20，以避免预算过度集中。</w:t>
      </w:r>
    </w:p>
    <w:p>
      <w:r>
        <w:t>上述数值的来源并不相同。B由附件1汇总得到，C₀及滞后系数由历史数据估计；经验贝叶斯平滑、分布滞后和Bootstrap分别具有Efron与Morris、Almon及Efron相关研究的理论依据。δ、ω、预算浮动范围和γ无法由现有数据唯一识别，因此作为基准情景参数设定，不将其表述为文献规定值，并在后文通过敏感性分析检验。</w:t>
      </w:r>
    </w:p>
    <w:p>
      <w:pPr>
        <w:pStyle w:val="Heading1"/>
      </w:pPr>
      <w:r>
        <w:t>六 每日最优策略与详细结果生成</w:t>
      </w:r>
    </w:p>
    <w:p>
      <w:pPr>
        <w:pStyle w:val="Heading2"/>
      </w:pPr>
      <w:r>
        <w:t>6.1 2026年9月11—17日每日最优投放策略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  <w:cantSplit/>
        </w:trPr>
        <w:tc>
          <w:tcPr>
            <w:tcW w:type="dxa" w:w="103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投入 元</w:t>
            </w:r>
          </w:p>
        </w:tc>
        <w:tc>
          <w:tcPr>
            <w:tcW w:type="dxa" w:w="89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词数</w:t>
            </w:r>
          </w:p>
        </w:tc>
        <w:tc>
          <w:tcPr>
            <w:tcW w:type="dxa" w:w="12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点击量</w:t>
            </w:r>
          </w:p>
        </w:tc>
        <w:tc>
          <w:tcPr>
            <w:tcW w:type="dxa" w:w="13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浏览量</w:t>
            </w:r>
          </w:p>
        </w:tc>
        <w:tc>
          <w:tcPr>
            <w:tcW w:type="dxa" w:w="112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注册量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注册成本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6,783.14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4,908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22,186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11.36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09-12</w:t>
            </w:r>
          </w:p>
        </w:tc>
        <w:tc>
          <w:tcPr>
            <w:tcW w:type="dxa" w:w="144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5,082.85</w:t>
            </w:r>
          </w:p>
        </w:tc>
        <w:tc>
          <w:tcPr>
            <w:tcW w:type="dxa" w:w="893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22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3,984</w:t>
            </w:r>
          </w:p>
        </w:tc>
        <w:tc>
          <w:tcPr>
            <w:tcW w:type="dxa" w:w="1368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18,855</w:t>
            </w:r>
          </w:p>
        </w:tc>
        <w:tc>
          <w:tcPr>
            <w:tcW w:type="dxa" w:w="1123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463</w:t>
            </w:r>
          </w:p>
        </w:tc>
        <w:tc>
          <w:tcPr>
            <w:tcW w:type="dxa" w:w="1296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10.97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4,807.95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3,775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17,298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11.39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09-14</w:t>
            </w:r>
          </w:p>
        </w:tc>
        <w:tc>
          <w:tcPr>
            <w:tcW w:type="dxa" w:w="144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5,217.65</w:t>
            </w:r>
          </w:p>
        </w:tc>
        <w:tc>
          <w:tcPr>
            <w:tcW w:type="dxa" w:w="893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22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3,845</w:t>
            </w:r>
          </w:p>
        </w:tc>
        <w:tc>
          <w:tcPr>
            <w:tcW w:type="dxa" w:w="1368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16,521</w:t>
            </w:r>
          </w:p>
        </w:tc>
        <w:tc>
          <w:tcPr>
            <w:tcW w:type="dxa" w:w="1123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296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11.54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615.63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685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3,781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6.78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09-16</w:t>
            </w:r>
          </w:p>
        </w:tc>
        <w:tc>
          <w:tcPr>
            <w:tcW w:type="dxa" w:w="144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482.63</w:t>
            </w:r>
          </w:p>
        </w:tc>
        <w:tc>
          <w:tcPr>
            <w:tcW w:type="dxa" w:w="893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1368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2,921</w:t>
            </w:r>
          </w:p>
        </w:tc>
        <w:tc>
          <w:tcPr>
            <w:tcW w:type="dxa" w:w="1123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96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6.79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09-17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498.17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3,330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7.32</w:t>
            </w:r>
          </w:p>
        </w:tc>
      </w:tr>
    </w:tbl>
    <w:p>
      <w:pPr>
        <w:spacing w:after="20"/>
      </w:pPr>
    </w:p>
    <w:p>
      <w:r>
        <w:t>模型首先给出七天的预算安排和预期效果，再将每日预算细化到具体推广单元和关键词。七日总投入为23,488.02元，共形成922条有效投放记录；每条记录的具体关键词和投入金额见result4.xlsx。</w:t>
      </w:r>
    </w:p>
    <w:p>
      <w:pPr>
        <w:pStyle w:val="Heading2"/>
      </w:pPr>
      <w:r>
        <w:t>6.2 最优投放记录生成</w:t>
      </w:r>
    </w:p>
    <w:p>
      <w:r>
        <w:t>只有最优投入大于0的“日期—推广单元—关键词”组合进入结果表：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905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6记录集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9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符号说明：S*为最终投放记录集合；bᵢⱼₜ*为线性规划得到的最优投入。</w:t>
      </w:r>
    </w:p>
    <w:p>
      <w:r>
        <w:t>结果表前五列由记录下标和历史映射关系直接确定：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284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7基础字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符号说明：q(j)表示推广单元j对应的历史方案ID；Cost即投入金额。</w:t>
      </w:r>
    </w:p>
    <w:p>
      <w:pPr>
        <w:pStyle w:val="Heading2"/>
      </w:pPr>
      <w:r>
        <w:t>6.3 投放效果换算</w:t>
      </w:r>
    </w:p>
    <w:p>
      <w:r>
        <w:t>求解器给出最优投入金额后，先计算每条关键词记录的预期点击量、浏览量和注册量。这些计算值直接构成result4.xlsx的结果字段：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530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18至20效果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符号说明：bᵢⱼₜ*为最优投入；K̂ᵢⱼₜ、V̂ᵢⱼₜ和R̂ᵢⱼₜ分别为预期点击量、浏览量和注册量。</w:t>
      </w:r>
    </w:p>
    <w:p>
      <w:r>
        <w:t>关键词预期展位采用所属推广单元当日预测展位：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6352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式21展位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3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0" w:right="230"/>
      </w:pPr>
      <w:r>
        <w:rPr>
          <w:sz w:val="18"/>
        </w:rPr>
        <w:t>符号说明：p̂ᵢⱼₜ为关键词预期展位；p̂ⱼₜ为推广单元当日预测展位。</w:t>
      </w:r>
    </w:p>
    <w:p>
      <w:pPr>
        <w:pStyle w:val="Heading2"/>
      </w:pPr>
      <w:r>
        <w:t>6.4 指标期望范围计算</w:t>
      </w:r>
    </w:p>
    <w:p>
      <w:r>
        <w:t>在得到各关键词的中心预测后，从CPC、CTR、浏览和注册模型的历史残差中重复抽样2,000次，每次重新计算竞价、展现量、展现位、点击量、浏览量和注册量，最后取模拟结果的10%和90%分位数作为80%经验范围。</w:t>
      </w:r>
    </w:p>
    <w:p>
      <w:pPr>
        <w:pStyle w:val="Heading2"/>
      </w:pPr>
      <w:r>
        <w:t>6.5 result4.xlsx生成</w:t>
      </w:r>
    </w:p>
    <w:p>
      <w:r>
        <w:t>九列字段依次为：日期t；由推广单元映射得到的方案ID q(j)；推广单元j；进入最优记录集合的关键词i；最优投入bᵢⱼₜ*；由式（21）计算的预期展位；以及分别由式（18）—（20）计算的预期点击量、预期浏览量和预期注册量。</w:t>
      </w:r>
    </w:p>
    <w:p>
      <w:r>
        <w:t>result4.xlsx的“最优投放策略”工作表严格采用附件2的九列模板；“指标期望范围”工作表进一步给出每条关键词记录的竞价、展现量、展现位、点击量、浏览量和注册量的中心值、下限与上限。</w:t>
      </w:r>
    </w:p>
    <w:p>
      <w:pPr>
        <w:pStyle w:val="Heading1"/>
      </w:pPr>
      <w:r>
        <w:t>七 主要结果分析与可视化</w:t>
      </w:r>
    </w:p>
    <w:p>
      <w:pPr>
        <w:pStyle w:val="Heading2"/>
      </w:pPr>
      <w:r>
        <w:t>7.1 总体效果与期望范围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中心预测</w:t>
            </w:r>
          </w:p>
        </w:tc>
        <w:tc>
          <w:tcPr>
            <w:tcW w:type="dxa" w:w="41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80%经验范围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竞价代理值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1.28元/次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1.08至1.38元/次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预期展现量</w:t>
            </w:r>
          </w:p>
        </w:tc>
        <w:tc>
          <w:tcPr>
            <w:tcW w:type="dxa" w:w="302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613,531次</w:t>
            </w:r>
          </w:p>
        </w:tc>
        <w:tc>
          <w:tcPr>
            <w:tcW w:type="dxa" w:w="410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458,613至1,806,141次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预期展现位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3.43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3.06至3.66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预期点击量</w:t>
            </w:r>
          </w:p>
        </w:tc>
        <w:tc>
          <w:tcPr>
            <w:tcW w:type="dxa" w:w="302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18,331次</w:t>
            </w:r>
          </w:p>
        </w:tc>
        <w:tc>
          <w:tcPr>
            <w:tcW w:type="dxa" w:w="410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17,070至21,676次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预期浏览量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84,892次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76,736至103,836次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预期注册量</w:t>
            </w:r>
          </w:p>
        </w:tc>
        <w:tc>
          <w:tcPr>
            <w:tcW w:type="dxa" w:w="302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2,164人</w:t>
            </w:r>
          </w:p>
        </w:tc>
        <w:tc>
          <w:tcPr>
            <w:tcW w:type="dxa" w:w="4104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1,980至2,593人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预期注册成本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10.85元/人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随注册量波动</w:t>
            </w:r>
          </w:p>
        </w:tc>
      </w:tr>
    </w:tbl>
    <w:p>
      <w:pPr>
        <w:spacing w:after="20"/>
      </w:pPr>
    </w:p>
    <w:p>
      <w:pPr>
        <w:pStyle w:val="Heading2"/>
      </w:pPr>
      <w:r>
        <w:t>7.2 结果可视化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696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算成本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19"/>
        </w:rPr>
        <w:t>图2 七日预算与预期注册成本</w:t>
      </w:r>
    </w:p>
    <w:p>
      <w:r>
        <w:t>图2显示，9月11日至14日合计投入21,891.59元，占七日预算的93.2%，其中9月11日投入最高。9月15日至17日投入较低，主要是推广单元同期预算稳定性约束所致，并不表示后三天没有投放价值。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696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注册区间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19"/>
        </w:rPr>
        <w:t>图3 七日预期注册量及80%经验区间</w:t>
      </w:r>
    </w:p>
    <w:p>
      <w:r>
        <w:t>图3显示，各日注册量中心预测均位于80%经验范围内。9月11日至14日的投入和注册量较高，相应区间也较宽，说明高投入日期带来的绝对预测波动更明显；后三天中心值和区间均明显下降。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28834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型预算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19"/>
        </w:rPr>
        <w:t>图4 不同关键词类型的预算分配</w:t>
      </w:r>
    </w:p>
    <w:p>
      <w:r>
        <w:t>图4显示，重点词获得20,309.13元，占总预算的86.5%；潜力词和黄金词分别获得2,052.37元和1,126.52元。潜力词投入占比为8.7%，没有超过15%的风险控制上限，说明优化结果在提高注册效率的同时保留了必要的预算约束。</w:t>
      </w:r>
    </w:p>
    <w:p>
      <w:pPr>
        <w:pStyle w:val="Heading1"/>
      </w:pPr>
      <w:r>
        <w:t>八 模型与结果检验</w:t>
      </w:r>
    </w:p>
    <w:p>
      <w:pPr>
        <w:pStyle w:val="Heading2"/>
      </w:pPr>
      <w:r>
        <w:t>8.1 可行性与一致性检验</w:t>
      </w:r>
    </w:p>
    <w:p>
      <w:r>
        <w:t>线性规划求解器返回最优可行解，所有投入金额均非负，且满足推广单元稳定性、关键词容量和潜力词比例约束。逐关键词投入汇总为23,488.02元，与七日预算的差异小于10⁻⁶元；逐日结果加总后得到18,330.93次点击、84,891.83次浏览和2,164.19次注册，与论文总表及result4.xlsx完全一致。中心预测均位于相应的80%经验范围内，说明区间输出与点预测不存在计算矛盾。</w:t>
      </w:r>
    </w:p>
    <w:p>
      <w:pPr>
        <w:pStyle w:val="Heading2"/>
      </w:pPr>
      <w:r>
        <w:t>8.2 敏感性检验</w:t>
      </w:r>
    </w:p>
    <w:p>
      <w:r>
        <w:t>以预期注册量2,164.19人为基准，分别改变主要人为设定参数。δ由0.50调整为0.40和0.60时，注册量变化−2.46%和2.46%；ω取0.30和0.70时，变化7.87%和−6.89%；单元浮动范围取±10%和±20%时，变化−1.08%和1.06%；γ取1.10和1.30时，变化−0.69%和0.65%。各情景均得到可行解，预算约束始终满足，最优策略的总体数量级和主要结论保持稳定；其中同期权重ω影响相对较大，实际执行时应优先滚动校准。</w:t>
      </w:r>
    </w:p>
    <w:p>
      <w:pPr>
        <w:pStyle w:val="Heading1"/>
      </w:pPr>
      <w:r>
        <w:t>参考文献</w:t>
      </w:r>
    </w:p>
    <w:p>
      <w:r>
        <w:t>[1] Efron B, Morris C. Stein’s estimation rule and its competitors—An empirical Bayes approach[J]. Journal of the American Statistical Association, 1973, 68(341): 117–130.</w:t>
        <w:br/>
        <w:t>[2] Almon S. The distributed lag between capital appropriations and expenditures[J]. Econometrica, 1965, 33(1): 178–196.</w:t>
        <w:br/>
        <w:t>[3] Efron B. Bootstrap methods: Another look at the jackknife[J]. The Annals of Statistics, 1979, 7(1): 1–26.</w:t>
      </w:r>
    </w:p>
    <w:p>
      <w:pPr>
        <w:pStyle w:val="Heading1"/>
      </w:pPr>
      <w:r>
        <w:t>结论</w:t>
      </w:r>
    </w:p>
    <w:p>
      <w:r>
        <w:t>第四问包含每日策略优化、竞价范围估计、投放效果区间估计和结果文件输出四项任务。七日最优预算为23,488.02元，预计展现613,531次、点击18,331次、浏览84,892次、注册2,164人；平均竞价代理值为1.28元/次，平均展现位为3.43。注册量80%经验区间为1,980至2,593人。模型形成922条“日期—方案—推广单元—关键词”投放记录，并写入result4.xlsx。</w:t>
      </w:r>
    </w:p>
    <w:sectPr w:rsidR="00FC693F" w:rsidRPr="0006063C" w:rsidSect="00034616">
      <w:footerReference w:type="default" r:id="rId26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E题第四问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Noto Sans SC" w:hAnsi="Noto Sans SC" w:eastAsia="Noto Sans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