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报告日期：2026-09-11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96.68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CRSP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51.72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927.03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150.28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175.26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NNE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16.41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7.91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CCJ</w:t>
      </w:r>
    </w:p>
    <w:p>
      <w:r>
        <w:t>基础信息：日期 2026-09-11；当前价格 96.68；信号等级 A. 强信号。</w:t>
      </w:r>
    </w:p>
    <w:p>
      <w:r>
        <w:t>BOLL：上轨 107.13；中轨 100.03；下轨 92.93；Bandwidth 14.19%。</w:t>
      </w:r>
    </w:p>
    <w:p>
      <w:r>
        <w:t>MACD：DIF 0.6432；DEA 1.2523；MACD柱 -0.6091；是否死叉：是。</w:t>
      </w:r>
    </w:p>
    <w:p>
      <w:r>
        <w:t>RSI：RSI6 35.75；RSI12 45.04；RSI24 48.39。</w:t>
      </w:r>
    </w:p>
    <w:p>
      <w:r>
        <w:t>均线：MA20 100.03；MA50 95.18；MA200 N/A。</w:t>
      </w:r>
    </w:p>
    <w:p>
      <w:r>
        <w:t>成交量：当日成交量 2137700；20日平均成交量 2619115；成交量倍数 0.82。</w:t>
      </w:r>
    </w:p>
    <w:p>
      <w:r>
        <w:t>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CRSP</w:t>
      </w:r>
    </w:p>
    <w:p>
      <w:r>
        <w:t>基础信息：日期 2026-09-11；当前价格 51.72；信号等级 A. 强信号。</w:t>
      </w:r>
    </w:p>
    <w:p>
      <w:r>
        <w:t>BOLL：上轨 61.67；中轨 56.39；下轨 51.11；Bandwidth 18.73%。</w:t>
      </w:r>
    </w:p>
    <w:p>
      <w:r>
        <w:t>MACD：DIF -0.0420；DEA 0.8443；MACD柱 -0.8862；是否死叉：是。</w:t>
      </w:r>
    </w:p>
    <w:p>
      <w:r>
        <w:t>RSI：RSI6 18.37；RSI12 36.60；RSI24 45.36。</w:t>
      </w:r>
    </w:p>
    <w:p>
      <w:r>
        <w:t>均线：MA20 56.39；MA50 53.58；MA200 N/A。</w:t>
      </w:r>
    </w:p>
    <w:p>
      <w:r>
        <w:t>成交量：当日成交量 856100；20日平均成交量 1464010；成交量倍数 0.58。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2026-09-11；当前价格 927.03；信号等级 C. 观察信号。</w:t>
      </w:r>
    </w:p>
    <w:p>
      <w:r>
        <w:t>BOLL：上轨 996.62；中轨 903.05；下轨 809.48；Bandwidth 20.72%。</w:t>
      </w:r>
    </w:p>
    <w:p>
      <w:r>
        <w:t>MACD：DIF 27.6147；DEA 25.2632；MACD柱 2.3515；是否死叉：是。</w:t>
      </w:r>
    </w:p>
    <w:p>
      <w:r>
        <w:t>RSI：RSI6 52.54；RSI12 53.90；RSI24 53.67。</w:t>
      </w:r>
    </w:p>
    <w:p>
      <w:r>
        <w:t>均线：MA20 903.05；MA50 826.44；MA200 N/A。</w:t>
      </w:r>
    </w:p>
    <w:p>
      <w:r>
        <w:t>成交量：当日成交量 3396700；20日平均成交量 4159880；成交量倍数 0.82。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ORCL</w:t>
      </w:r>
    </w:p>
    <w:p>
      <w:r>
        <w:t>基础信息：日期 2026-09-11；当前价格 150.28；信号等级 C. 观察信号。</w:t>
      </w:r>
    </w:p>
    <w:p>
      <w:r>
        <w:t>BOLL：上轨 161.61；中轨 149.38；下轨 137.15；Bandwidth 16.38%。</w:t>
      </w:r>
    </w:p>
    <w:p>
      <w:r>
        <w:t>MACD：DIF 3.2083；DEA 2.7387；MACD柱 0.4697；是否死叉：是。</w:t>
      </w:r>
    </w:p>
    <w:p>
      <w:r>
        <w:t>RSI：RSI6 44.29；RSI12 50.66；RSI24 49.81。</w:t>
      </w:r>
    </w:p>
    <w:p>
      <w:r>
        <w:t>均线：MA20 149.38；MA50 140.68；MA200 N/A。</w:t>
      </w:r>
    </w:p>
    <w:p>
      <w:r>
        <w:t>成交量：当日成交量 80438600；20日平均成交量 26726810；成交量倍数 3.01。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2026-09-11；当前价格 175.26；信号等级 C. 观察信号。</w:t>
      </w:r>
    </w:p>
    <w:p>
      <w:r>
        <w:t>BOLL：上轨 201.73；中轨 175.03；下轨 148.32；Bandwidth 30.52%。</w:t>
      </w:r>
    </w:p>
    <w:p>
      <w:r>
        <w:t>MACD：DIF 4.4540；DEA 5.6032；MACD柱 -1.1492；是否死叉：是。</w:t>
      </w:r>
    </w:p>
    <w:p>
      <w:r>
        <w:t>RSI：RSI6 46.56；RSI12 51.08；RSI24 50.85。</w:t>
      </w:r>
    </w:p>
    <w:p>
      <w:r>
        <w:t>均线：MA20 175.03；MA50 165.05；MA200 N/A。</w:t>
      </w:r>
    </w:p>
    <w:p>
      <w:r>
        <w:t>成交量：当日成交量 7821500；20日平均成交量 9868375；成交量倍数 0.79。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NNE</w:t>
      </w:r>
    </w:p>
    <w:p>
      <w:r>
        <w:t>基础信息：日期 2026-09-11；当前价格 16.41；信号等级 C. 观察信号。</w:t>
      </w:r>
    </w:p>
    <w:p>
      <w:r>
        <w:t>BOLL：上轨 20.02；中轨 18.35；下轨 16.68；Bandwidth 18.20%。</w:t>
      </w:r>
    </w:p>
    <w:p>
      <w:r>
        <w:t>MACD：DIF -0.3125；DEA -0.1718；MACD柱 -0.1407；是否死叉：是。</w:t>
      </w:r>
    </w:p>
    <w:p>
      <w:r>
        <w:t>RSI：RSI6 32.07；RSI12 39.94；RSI24 43.60。</w:t>
      </w:r>
    </w:p>
    <w:p>
      <w:r>
        <w:t>均线：MA20 18.35；MA50 18.02；MA200 N/A。</w:t>
      </w:r>
    </w:p>
    <w:p>
      <w:r>
        <w:t>成交量：当日成交量 2259100；20日平均成交量 1619655；成交量倍数 1.39。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IBRX</w:t>
      </w:r>
    </w:p>
    <w:p>
      <w:r>
        <w:t>基础信息：日期 2026-09-11；当前价格 7.91；信号等级 C. 观察信号。</w:t>
      </w:r>
    </w:p>
    <w:p>
      <w:r>
        <w:t>BOLL：上轨 8.42；中轨 7.97；下轨 7.52；Bandwidth 11.32%。</w:t>
      </w:r>
    </w:p>
    <w:p>
      <w:r>
        <w:t>MACD：DIF 0.0829；DEA 0.1086；MACD柱 -0.0257；是否死叉：是。</w:t>
      </w:r>
    </w:p>
    <w:p>
      <w:r>
        <w:t>RSI：RSI6 46.54；RSI12 49.93；RSI24 48.02。</w:t>
      </w:r>
    </w:p>
    <w:p>
      <w:r>
        <w:t>均线：MA20 7.97；MA50 7.82；MA200 N/A。</w:t>
      </w:r>
    </w:p>
    <w:p>
      <w:r>
        <w:t>成交量：当日成交量 12468800；20日平均成交量 8076385；成交量倍数 1.54。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CCJ：A. 强信号。触发条件：1.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95.18 的支撑或压力变化。</w:t>
      </w:r>
    </w:p>
    <w:p>
      <w:r>
        <w:t>CRSP：A.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53.58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826.44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140.68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165.05 的支撑或压力变化。</w:t>
      </w:r>
    </w:p>
    <w:p>
      <w:r>
        <w:t>NNE：C. 观察信号。触发条件：1. 启动前提：股价从近期高位跌破BOLL中轨；3. 跌破中轨日前后6个交易日内MACD出现死叉；4. BOLL中轨连续3日及以上下跌；6. 近3-5日上轨、中轨、下轨同时向下。当前属于观察信号，需要后续交易日确认是否继续走弱，同时关注 MA50 附近 18.02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7.82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