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报告日期：2026-09-14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97.42</w:t>
            </w:r>
          </w:p>
        </w:tc>
        <w:tc>
          <w:tcPr>
            <w:tcW w:type="dxa" w:w="1234"/>
          </w:tcPr>
          <w:p>
            <w:r>
              <w:t>偏离MA20超过8%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60.00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21.36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82.98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95.76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6.78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13.88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7.23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CRCL</w:t>
      </w:r>
    </w:p>
    <w:p>
      <w:r>
        <w:t>当前价格：97.42</w:t>
      </w:r>
    </w:p>
    <w:p>
      <w:r>
        <w:t>短线状态：短线反弹确认；反弹确认分：5</w:t>
      </w:r>
    </w:p>
    <w:p>
      <w:r>
        <w:t>短线风险分：1；风险等级：短线反弹正常</w:t>
      </w:r>
    </w:p>
    <w:p>
      <w:r>
        <w:t>指标摘要：RSI6/RSI12=60.4/60.4；K/D/J=50.6/55.1/41.6；偏离MA20=8.60%；近5日涨幅=-4.54%；量能=1.10倍。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偏离MA20超过8%</w:t>
      </w:r>
    </w:p>
    <w:p>
      <w:r>
        <w:t>建议观察位置：当前价格 97.42；MA5 93.50；MA10 94.65；MA20 89.70。若跌破MA5，短线反弹降温；若跌破MA20，反弹结构可能明显转弱。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当前价格：60.00</w:t>
      </w:r>
    </w:p>
    <w:p>
      <w:r>
        <w:t>短线状态：未形成短线反弹；反弹确认分：2</w:t>
      </w:r>
    </w:p>
    <w:p>
      <w:r>
        <w:t>短线风险分：0；风险等级：未形成短线反弹，不进入过热评分</w:t>
      </w:r>
    </w:p>
    <w:p>
      <w:r>
        <w:t>指标摘要：RSI6/RSI12=42.3/44.3；K/D/J=43.5/46.1/38.1；偏离MA20=-4.16%；近5日涨幅=-3.71%；量能=0.73倍。</w:t>
      </w:r>
    </w:p>
    <w:p>
      <w:r>
        <w:t>反弹成立条件：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60.00；MA5 61.66；MA10 61.01；MA20 62.61。若跌破MA5，短线反弹降温；若跌破MA20，反弹结构可能明显转弱。</w:t>
      </w:r>
    </w:p>
    <w:p>
      <w:pPr>
        <w:pStyle w:val="Heading3"/>
      </w:pPr>
      <w:r>
        <w:t>FLY</w:t>
      </w:r>
    </w:p>
    <w:p>
      <w:r>
        <w:t>当前价格：21.36</w:t>
      </w:r>
    </w:p>
    <w:p>
      <w:r>
        <w:t>短线状态：未形成短线反弹；反弹确认分：2</w:t>
      </w:r>
    </w:p>
    <w:p>
      <w:r>
        <w:t>短线风险分：0；风险等级：未形成短线反弹，不进入过热评分</w:t>
      </w:r>
    </w:p>
    <w:p>
      <w:r>
        <w:t>指标摘要：RSI6/RSI12=44.0/43.1；K/D/J=31.9/32.0/31.9；偏离MA20=-5.37%；近5日涨幅=-1.43%；量能=0.91倍。</w:t>
      </w:r>
    </w:p>
    <w:p>
      <w:r>
        <w:t>反弹成立条件：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21.36；MA5 21.62；MA10 21.37；MA20 22.57。若跌破MA5，短线反弹降温；若跌破MA20，反弹结构可能明显转弱。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当前价格：82.98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指标摘要：RSI6/RSI12=36.7/43.6；K/D/J=36.7/43.1/23.9；偏离MA20=-6.68%；近5日涨幅=-7.14%；量能=1.17倍。</w:t>
      </w:r>
    </w:p>
    <w:p>
      <w:r>
        <w:t>反弹成立条件：</w:t>
      </w:r>
    </w:p>
    <w:p>
      <w:pPr>
        <w:pStyle w:val="ListBullet"/>
      </w:pPr>
      <w:r>
        <w:t>MA5高于MA10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82.98；MA5 91.17；MA10 87.75；MA20 88.92。若跌破MA5，短线反弹降温；若跌破MA20，反弹结构可能明显转弱。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当前价格：95.76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指标摘要：RSI6/RSI12=29.9/38.0；K/D/J=26.3/31.8/15.4；偏离MA20=-15.27%；近5日涨幅=-9.26%；量能=1.06倍。</w:t>
      </w:r>
    </w:p>
    <w:p>
      <w:r>
        <w:t>反弹成立条件：</w:t>
      </w:r>
    </w:p>
    <w:p>
      <w:pPr>
        <w:pStyle w:val="ListBullet"/>
      </w:pPr>
      <w:r>
        <w:t>MA5高于MA10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95.76；MA5 104.78；MA10 104.40；MA20 113.02。若跌破MA5，短线反弹降温；若跌破MA20，反弹结构可能明显转弱。</w:t>
      </w:r>
    </w:p>
    <w:p>
      <w:pPr>
        <w:pStyle w:val="Heading3"/>
      </w:pPr>
      <w:r>
        <w:t>OPTX</w:t>
      </w:r>
    </w:p>
    <w:p>
      <w:r>
        <w:t>当前价格：6.78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指标摘要：RSI6/RSI12=24.2/35.7；K/D/J=15.3/21.7/2.3；偏离MA20=-15.15%；近5日涨幅=-10.44%；量能=1.49倍。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6.78；MA5 7.31；MA10 7.49；MA20 7.99。若跌破MA5，短线反弹降温；若跌破MA20，反弹结构可能明显转弱。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当前价格：13.88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指标摘要：RSI6/RSI12=25.7/35.8；K/D/J=14.6/19.0/5.6；偏离MA20=-14.14%；近5日涨幅=-6.28%；量能=0.71倍。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13.88；MA5 14.69；MA10 14.79；MA20 16.17。若跌破MA5，短线反弹降温；若跌破MA20，反弹结构可能明显转弱。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当前价格：7.23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指标摘要：RSI6/RSI12=30.5/38.0；K/D/J=23.2/23.0/23.4；偏离MA20=-9.38%；近5日涨幅=-5.12%；量能=1.37倍。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7.23；MA5 7.32；MA10 7.42；MA20 7.98。若跌破MA5，短线反弹降温；若跌破MA20，反弹结构可能明显转弱。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