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美股技术风险监控报告</w:t>
      </w:r>
    </w:p>
    <w:p>
      <w:pPr>
        <w:jc w:val="center"/>
      </w:pPr>
      <w:r>
        <w:t>报告日期：2026-08-24</w:t>
      </w:r>
    </w:p>
    <w:p>
      <w:pPr>
        <w:pStyle w:val="Heading2"/>
      </w:pPr>
      <w:r>
        <w:t>一、总体风险排名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趋势状态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风险评分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当前价格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440"/>
          </w:tcPr>
          <w:p>
            <w:r>
              <w:t>ONDS</w:t>
            </w:r>
          </w:p>
        </w:tc>
        <w:tc>
          <w:tcPr>
            <w:tcW w:type="dxa" w:w="1440"/>
          </w:tcPr>
          <w:p>
            <w:r>
              <w:t>上升趋势(6)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明显下跌风险</w:t>
            </w:r>
          </w:p>
        </w:tc>
        <w:tc>
          <w:tcPr>
            <w:tcW w:type="dxa" w:w="1440"/>
          </w:tcPr>
          <w:p>
            <w:r>
              <w:t>8.24</w:t>
            </w:r>
          </w:p>
        </w:tc>
        <w:tc>
          <w:tcPr>
            <w:tcW w:type="dxa" w:w="1440"/>
          </w:tcPr>
          <w:p>
            <w:r>
              <w:t>MACD动能衰减；RSI多头结构破坏；RSI12跌破50；跌破20日均线</w:t>
            </w:r>
          </w:p>
        </w:tc>
      </w:tr>
      <w:tr>
        <w:tc>
          <w:tcPr>
            <w:tcW w:type="dxa" w:w="1440"/>
          </w:tcPr>
          <w:p>
            <w:r>
              <w:t>CRCL</w:t>
            </w:r>
          </w:p>
        </w:tc>
        <w:tc>
          <w:tcPr>
            <w:tcW w:type="dxa" w:w="1440"/>
          </w:tcPr>
          <w:p>
            <w:r>
              <w:t>上升趋势(8)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短线转弱</w:t>
            </w:r>
          </w:p>
        </w:tc>
        <w:tc>
          <w:tcPr>
            <w:tcW w:type="dxa" w:w="1440"/>
          </w:tcPr>
          <w:p>
            <w:r>
              <w:t>87.72</w:t>
            </w:r>
          </w:p>
        </w:tc>
        <w:tc>
          <w:tcPr>
            <w:tcW w:type="dxa" w:w="1440"/>
          </w:tcPr>
          <w:p>
            <w:r>
              <w:t>KDJ死叉；KDJ高位死叉；RSI偏过热；短期涨幅偏大</w:t>
            </w:r>
          </w:p>
        </w:tc>
      </w:tr>
      <w:tr>
        <w:tc>
          <w:tcPr>
            <w:tcW w:type="dxa" w:w="1440"/>
          </w:tcPr>
          <w:p>
            <w:r>
              <w:t>OPTX</w:t>
            </w:r>
          </w:p>
        </w:tc>
        <w:tc>
          <w:tcPr>
            <w:tcW w:type="dxa" w:w="1440"/>
          </w:tcPr>
          <w:p>
            <w:r>
              <w:t>趋势修复/震荡偏强(5)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8.29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ASTS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62.35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CRWV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86.25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FLY</w:t>
            </w:r>
          </w:p>
        </w:tc>
        <w:tc>
          <w:tcPr>
            <w:tcW w:type="dxa" w:w="1440"/>
          </w:tcPr>
          <w:p>
            <w:r>
              <w:t>非上升趋势(2)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23.10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  <w:tr>
        <w:tc>
          <w:tcPr>
            <w:tcW w:type="dxa" w:w="1440"/>
          </w:tcPr>
          <w:p>
            <w:r>
              <w:t>AAOI</w:t>
            </w:r>
          </w:p>
        </w:tc>
        <w:tc>
          <w:tcPr>
            <w:tcW w:type="dxa" w:w="1440"/>
          </w:tcPr>
          <w:p>
            <w:r>
              <w:t>趋势修复/震荡偏强(4)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107.63</w:t>
            </w:r>
          </w:p>
        </w:tc>
        <w:tc>
          <w:tcPr>
            <w:tcW w:type="dxa" w:w="1440"/>
          </w:tcPr>
          <w:p>
            <w:r>
              <w:t>趋势修复/震荡偏强：不按过热见顶模型触发</w:t>
            </w:r>
          </w:p>
        </w:tc>
      </w:tr>
      <w:tr>
        <w:tc>
          <w:tcPr>
            <w:tcW w:type="dxa" w:w="1440"/>
          </w:tcPr>
          <w:p>
            <w:r>
              <w:t>LUNR</w:t>
            </w:r>
          </w:p>
        </w:tc>
        <w:tc>
          <w:tcPr>
            <w:tcW w:type="dxa" w:w="1440"/>
          </w:tcPr>
          <w:p>
            <w:r>
              <w:t>非上升趋势(3)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非上升趋势，跳过过热见顶评分</w:t>
            </w:r>
          </w:p>
        </w:tc>
        <w:tc>
          <w:tcPr>
            <w:tcW w:type="dxa" w:w="1440"/>
          </w:tcPr>
          <w:p>
            <w:r>
              <w:t>16.66</w:t>
            </w:r>
          </w:p>
        </w:tc>
        <w:tc>
          <w:tcPr>
            <w:tcW w:type="dxa" w:w="1440"/>
          </w:tcPr>
          <w:p>
            <w:r>
              <w:t>非上升趋势：不按过热见顶模型触发</w:t>
            </w:r>
          </w:p>
        </w:tc>
      </w:tr>
    </w:tbl>
    <w:p/>
    <w:p>
      <w:pPr>
        <w:pStyle w:val="Heading2"/>
      </w:pPr>
      <w:r>
        <w:t>二、逐股票分析</w:t>
      </w:r>
    </w:p>
    <w:p>
      <w:pPr>
        <w:pStyle w:val="Heading3"/>
      </w:pPr>
      <w:r>
        <w:t>ONDS</w:t>
      </w:r>
    </w:p>
    <w:p>
      <w:r>
        <w:t>当前价格：8.24</w:t>
      </w:r>
    </w:p>
    <w:p>
      <w:r>
        <w:t>趋势过滤：上升趋势；上升趋势评分：6</w:t>
      </w:r>
    </w:p>
    <w:p>
      <w:r>
        <w:t>当前状态：趋势转弱</w:t>
      </w:r>
    </w:p>
    <w:p>
      <w:r>
        <w:t>风险评分：总分 7；风险等级：明显下跌风险</w:t>
      </w:r>
    </w:p>
    <w:p>
      <w:r>
        <w:t>技术指标：</w:t>
      </w:r>
    </w:p>
    <w:p>
      <w:pPr>
        <w:pStyle w:val="ListBullet"/>
      </w:pPr>
      <w:r>
        <w:t>MACD状态：MACD柱连续3天缩短</w:t>
      </w:r>
    </w:p>
    <w:p>
      <w:pPr>
        <w:pStyle w:val="ListBullet"/>
      </w:pPr>
      <w:r>
        <w:t>KDJ状态：KDJ暂无明显风险</w:t>
      </w:r>
    </w:p>
    <w:p>
      <w:pPr>
        <w:pStyle w:val="ListBullet"/>
      </w:pPr>
      <w:r>
        <w:t>RSI：RSI6=35.8；RSI12=45.3；RSI24=47.8；RSI空头排列；RSI12跌破50</w:t>
      </w:r>
    </w:p>
    <w:p>
      <w:pPr>
        <w:pStyle w:val="ListBullet"/>
      </w:pPr>
      <w:r>
        <w:t>MA20/50/200：MA20=8.65；MA50=8.20；MA200=9.44；跌破MA20；跌破MA200</w:t>
      </w:r>
    </w:p>
    <w:p>
      <w:pPr>
        <w:pStyle w:val="ListBullet"/>
      </w:pPr>
      <w:r>
        <w:t>成交量变化：Volume/MA20=0.66倍；成交量为20日均量的0.66倍</w:t>
      </w:r>
    </w:p>
    <w:p>
      <w:r>
        <w:t>主要风险来源：</w:t>
      </w:r>
    </w:p>
    <w:p>
      <w:pPr>
        <w:pStyle w:val="ListBullet"/>
      </w:pPr>
      <w:r>
        <w:t>MACD动能衰减</w:t>
      </w:r>
    </w:p>
    <w:p>
      <w:pPr>
        <w:pStyle w:val="ListBullet"/>
      </w:pPr>
      <w:r>
        <w:t>RSI多头结构破坏</w:t>
      </w:r>
    </w:p>
    <w:p>
      <w:pPr>
        <w:pStyle w:val="ListBullet"/>
      </w:pPr>
      <w:r>
        <w:t>RSI12跌破50</w:t>
      </w:r>
    </w:p>
    <w:p>
      <w:pPr>
        <w:pStyle w:val="ListBullet"/>
      </w:pPr>
      <w:r>
        <w:t>跌破20日均线</w:t>
      </w:r>
    </w:p>
    <w:p>
      <w:pPr>
        <w:pStyle w:val="ListBullet"/>
      </w:pPr>
      <w:r>
        <w:t>跌破200日均线</w:t>
      </w:r>
    </w:p>
    <w:p>
      <w:r>
        <w:t>判断：趋势转弱。MACD柱连续3天缩短；KDJ暂无明显风险；RSI空头排列；RSI12跌破50。</w:t>
      </w:r>
    </w:p>
    <w:p>
      <w:r>
        <w:t>建议观察位置：当前价格 8.24；MA20 8.65；MA50 8.20；MA200 9.44。若后续有效跌破MA50，趋势进一步恶化的概率上升。</w:t>
      </w:r>
    </w:p>
    <w:p>
      <w:pPr>
        <w:pStyle w:val="Heading3"/>
      </w:pPr>
      <w:r>
        <w:t>CRCL</w:t>
      </w:r>
    </w:p>
    <w:p>
      <w:r>
        <w:t>当前价格：87.72</w:t>
      </w:r>
    </w:p>
    <w:p>
      <w:r>
        <w:t>趋势过滤：上升趋势；上升趋势评分：8</w:t>
      </w:r>
    </w:p>
    <w:p>
      <w:r>
        <w:t>当前状态：短线调整风险</w:t>
      </w:r>
    </w:p>
    <w:p>
      <w:r>
        <w:t>风险评分：总分 5；风险等级：短线转弱</w:t>
      </w:r>
    </w:p>
    <w:p>
      <w:r>
        <w:t>技术指标：</w:t>
      </w:r>
    </w:p>
    <w:p>
      <w:pPr>
        <w:pStyle w:val="ListBullet"/>
      </w:pPr>
      <w:r>
        <w:t>MACD状态：MACD暂无明显转弱</w:t>
      </w:r>
    </w:p>
    <w:p>
      <w:pPr>
        <w:pStyle w:val="ListBullet"/>
      </w:pPr>
      <w:r>
        <w:t>KDJ状态：KDJ死叉；KDJ高位死叉</w:t>
      </w:r>
    </w:p>
    <w:p>
      <w:pPr>
        <w:pStyle w:val="ListBullet"/>
      </w:pPr>
      <w:r>
        <w:t>RSI：RSI6=81.4；RSI12=71.8；RSI24=59.4；RSI12大于70，偏过热</w:t>
      </w:r>
    </w:p>
    <w:p>
      <w:pPr>
        <w:pStyle w:val="ListBullet"/>
      </w:pPr>
      <w:r>
        <w:t>MA20/50/200：MA20=70.50；MA50=69.58；MA200=85.12；偏离MA20超过20%</w:t>
      </w:r>
    </w:p>
    <w:p>
      <w:pPr>
        <w:pStyle w:val="ListBullet"/>
      </w:pPr>
      <w:r>
        <w:t>成交量变化：Volume/MA20=1.29倍；成交量为20日均量的1.29倍</w:t>
      </w:r>
    </w:p>
    <w:p>
      <w:r>
        <w:t>主要风险来源：</w:t>
      </w:r>
    </w:p>
    <w:p>
      <w:pPr>
        <w:pStyle w:val="ListBullet"/>
      </w:pPr>
      <w:r>
        <w:t>KDJ死叉</w:t>
      </w:r>
    </w:p>
    <w:p>
      <w:pPr>
        <w:pStyle w:val="ListBullet"/>
      </w:pPr>
      <w:r>
        <w:t>KDJ高位死叉</w:t>
      </w:r>
    </w:p>
    <w:p>
      <w:pPr>
        <w:pStyle w:val="ListBullet"/>
      </w:pPr>
      <w:r>
        <w:t>RSI偏过热</w:t>
      </w:r>
    </w:p>
    <w:p>
      <w:pPr>
        <w:pStyle w:val="ListBullet"/>
      </w:pPr>
      <w:r>
        <w:t>短期涨幅偏大</w:t>
      </w:r>
    </w:p>
    <w:p>
      <w:r>
        <w:t>判断：短线调整风险。MACD暂无明显转弱；KDJ死叉；KDJ高位死叉；RSI12大于70，偏过热。</w:t>
      </w:r>
    </w:p>
    <w:p>
      <w:r>
        <w:t>建议观察位置：当前价格 87.72；MA20 70.50；MA50 69.58；MA200 85.12。若后续有效跌破MA50，趋势进一步恶化的概率上升。</w:t>
      </w:r>
    </w:p>
    <w:p>
      <w:pPr>
        <w:pStyle w:val="Heading3"/>
      </w:pPr>
      <w:r>
        <w:t>OPTX</w:t>
      </w:r>
    </w:p>
    <w:p>
      <w:r>
        <w:t>当前价格：8.29</w:t>
      </w:r>
    </w:p>
    <w:p>
      <w:r>
        <w:t>趋势过滤：趋势修复/震荡偏强；上升趋势评分：5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RSI：RSI6=46.9；RSI12=49.9；RSI24=48.6；未进入过热见顶评分</w:t>
      </w:r>
    </w:p>
    <w:p>
      <w:pPr>
        <w:pStyle w:val="ListBullet"/>
      </w:pPr>
      <w:r>
        <w:t>MA20/50/200：MA20=7.85；MA50=9.00；MA200=6.89；收盘价站上MA20；收盘价站上MA200；MA50高于MA200；MA20斜率向上；近20日收益为正</w:t>
      </w:r>
    </w:p>
    <w:p>
      <w:pPr>
        <w:pStyle w:val="ListBullet"/>
      </w:pPr>
      <w:r>
        <w:t>成交量变化：Volume/MA20=0.47倍；成交量为20日均量的0.47倍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8.29；MA20 7.85；MA50 9.00；MA200 6.89。若后续有效跌破MA50，趋势进一步恶化的概率上升。</w:t>
      </w:r>
    </w:p>
    <w:p>
      <w:pPr>
        <w:pStyle w:val="Heading3"/>
      </w:pPr>
      <w:r>
        <w:t>ASTS</w:t>
      </w:r>
    </w:p>
    <w:p>
      <w:r>
        <w:t>当前价格：62.35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RSI：RSI6=34.1；RSI12=42.3；RSI24=44.9；未进入过热见顶评分</w:t>
      </w:r>
    </w:p>
    <w:p>
      <w:pPr>
        <w:pStyle w:val="ListBullet"/>
      </w:pPr>
      <w:r>
        <w:t>MA20/50/200：MA20=66.32；MA50=69.83；MA200=81.62；MA20斜率向上；近20日收益为正</w:t>
      </w:r>
    </w:p>
    <w:p>
      <w:pPr>
        <w:pStyle w:val="ListBullet"/>
      </w:pPr>
      <w:r>
        <w:t>成交量变化：Volume/MA20=1.02倍；成交量为20日均量的1.02倍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62.35；MA20 66.32；MA50 69.83；MA200 81.62。若后续有效跌破MA50，趋势进一步恶化的概率上升。</w:t>
      </w:r>
    </w:p>
    <w:p>
      <w:pPr>
        <w:pStyle w:val="Heading3"/>
      </w:pPr>
      <w:r>
        <w:t>CRWV</w:t>
      </w:r>
    </w:p>
    <w:p>
      <w:r>
        <w:t>当前价格：86.25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RSI：RSI6=34.9；RSI12=45.9；RSI24=47.8；未进入过热见顶评分</w:t>
      </w:r>
    </w:p>
    <w:p>
      <w:pPr>
        <w:pStyle w:val="ListBullet"/>
      </w:pPr>
      <w:r>
        <w:t>MA20/50/200：MA20=88.45；MA50=89.73；MA200=91.81；MA20斜率向上；近20日收益为正</w:t>
      </w:r>
    </w:p>
    <w:p>
      <w:pPr>
        <w:pStyle w:val="ListBullet"/>
      </w:pPr>
      <w:r>
        <w:t>成交量变化：Volume/MA20=0.57倍；成交量为20日均量的0.57倍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86.25；MA20 88.45；MA50 89.73；MA200 91.81。若后续有效跌破MA50，趋势进一步恶化的概率上升。</w:t>
      </w:r>
    </w:p>
    <w:p>
      <w:pPr>
        <w:pStyle w:val="Heading3"/>
      </w:pPr>
      <w:r>
        <w:t>FLY</w:t>
      </w:r>
    </w:p>
    <w:p>
      <w:r>
        <w:t>数据提示：历史数据不足300个交易日，当前仅263个交易日；部分长期均线可能为空。</w:t>
      </w:r>
    </w:p>
    <w:p>
      <w:r>
        <w:t>当前价格：23.10</w:t>
      </w:r>
    </w:p>
    <w:p>
      <w:r>
        <w:t>趋势过滤：非上升趋势；上升趋势评分：2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RSI：RSI6=33.7；RSI12=43.7；RSI24=45.0；未进入过热见顶评分</w:t>
      </w:r>
    </w:p>
    <w:p>
      <w:pPr>
        <w:pStyle w:val="ListBullet"/>
      </w:pPr>
      <w:r>
        <w:t>MA20/50/200：MA20=23.93；MA50=24.74；MA200=27.47；MA20斜率向上；近20日收益为正</w:t>
      </w:r>
    </w:p>
    <w:p>
      <w:pPr>
        <w:pStyle w:val="ListBullet"/>
      </w:pPr>
      <w:r>
        <w:t>成交量变化：Volume/MA20=0.71倍；成交量为20日均量的0.71倍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23.10；MA20 23.93；MA50 24.74；MA200 27.47。若后续有效跌破MA50，趋势进一步恶化的概率上升。</w:t>
      </w:r>
    </w:p>
    <w:p>
      <w:pPr>
        <w:pStyle w:val="Heading3"/>
      </w:pPr>
      <w:r>
        <w:t>AAOI</w:t>
      </w:r>
    </w:p>
    <w:p>
      <w:r>
        <w:t>当前价格：107.63</w:t>
      </w:r>
    </w:p>
    <w:p>
      <w:r>
        <w:t>趋势过滤：趋势修复/震荡偏强；上升趋势评分：4</w:t>
      </w:r>
    </w:p>
    <w:p>
      <w:r>
        <w:t>当前状态：趋势修复/震荡偏强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RSI：RSI6=32.1；RSI12=41.8；RSI24=45.3；未进入过热见顶评分</w:t>
      </w:r>
    </w:p>
    <w:p>
      <w:pPr>
        <w:pStyle w:val="ListBullet"/>
      </w:pPr>
      <w:r>
        <w:t>MA20/50/200：MA20=121.75；MA50=127.60；MA200=97.81；收盘价站上MA200；MA50高于MA200；MA20斜率向上；近20日收益为正</w:t>
      </w:r>
    </w:p>
    <w:p>
      <w:pPr>
        <w:pStyle w:val="ListBullet"/>
      </w:pPr>
      <w:r>
        <w:t>成交量变化：Volume/MA20=1.10倍；成交量为20日均量的1.10倍</w:t>
      </w:r>
    </w:p>
    <w:p>
      <w:r>
        <w:t>主要风险来源：</w:t>
      </w:r>
    </w:p>
    <w:p>
      <w:pPr>
        <w:pStyle w:val="ListBullet"/>
      </w:pPr>
      <w:r>
        <w:t>趋势修复/震荡偏强：不按过热见顶模型触发</w:t>
      </w:r>
    </w:p>
    <w:p>
      <w:r>
        <w:t>判断：趋势修复/震荡偏强。未进入过热见顶评分；未进入过热见顶评分；未进入过热见顶评分。</w:t>
      </w:r>
    </w:p>
    <w:p>
      <w:r>
        <w:t>建议观察位置：当前价格 107.63；MA20 121.75；MA50 127.60；MA200 97.81。若后续有效跌破MA50，趋势进一步恶化的概率上升。</w:t>
      </w:r>
    </w:p>
    <w:p>
      <w:pPr>
        <w:pStyle w:val="Heading3"/>
      </w:pPr>
      <w:r>
        <w:t>LUNR</w:t>
      </w:r>
    </w:p>
    <w:p>
      <w:r>
        <w:t>当前价格：16.66</w:t>
      </w:r>
    </w:p>
    <w:p>
      <w:r>
        <w:t>趋势过滤：非上升趋势；上升趋势评分：3</w:t>
      </w:r>
    </w:p>
    <w:p>
      <w:r>
        <w:t>当前状态：非上升趋势</w:t>
      </w:r>
    </w:p>
    <w:p>
      <w:r>
        <w:t>风险评分：总分 0；风险等级：非上升趋势，跳过过热见顶评分</w:t>
      </w:r>
    </w:p>
    <w:p>
      <w:r>
        <w:t>技术指标：</w:t>
      </w:r>
    </w:p>
    <w:p>
      <w:pPr>
        <w:pStyle w:val="ListBullet"/>
      </w:pPr>
      <w:r>
        <w:t>MACD状态：未进入过热见顶评分</w:t>
      </w:r>
    </w:p>
    <w:p>
      <w:pPr>
        <w:pStyle w:val="ListBullet"/>
      </w:pPr>
      <w:r>
        <w:t>KDJ状态：未进入过热见顶评分</w:t>
      </w:r>
    </w:p>
    <w:p>
      <w:pPr>
        <w:pStyle w:val="ListBullet"/>
      </w:pPr>
      <w:r>
        <w:t>RSI：RSI6=41.0；RSI12=48.6；RSI24=46.6；未进入过热见顶评分</w:t>
      </w:r>
    </w:p>
    <w:p>
      <w:pPr>
        <w:pStyle w:val="ListBullet"/>
      </w:pPr>
      <w:r>
        <w:t>MA20/50/200：MA20=15.88；MA50=17.26；MA200=19.51；收盘价站上MA20；MA20斜率向上；近20日收益为正</w:t>
      </w:r>
    </w:p>
    <w:p>
      <w:pPr>
        <w:pStyle w:val="ListBullet"/>
      </w:pPr>
      <w:r>
        <w:t>成交量变化：Volume/MA20=0.67倍；成交量为20日均量的0.67倍</w:t>
      </w:r>
    </w:p>
    <w:p>
      <w:r>
        <w:t>主要风险来源：</w:t>
      </w:r>
    </w:p>
    <w:p>
      <w:pPr>
        <w:pStyle w:val="ListBullet"/>
      </w:pPr>
      <w:r>
        <w:t>非上升趋势：不按过热见顶模型触发</w:t>
      </w:r>
    </w:p>
    <w:p>
      <w:r>
        <w:t>判断：非上升趋势。未进入过热见顶评分；未进入过热见顶评分；未进入过热见顶评分。</w:t>
      </w:r>
    </w:p>
    <w:p>
      <w:r>
        <w:t>建议观察位置：当前价格 16.66；MA20 15.88；MA50 17.26；MA200 19.51。若后续有效跌破MA50，趋势进一步恶化的概率上升。</w:t>
      </w:r>
    </w:p>
    <w:p>
      <w:r>
        <w:t>本报告仅用于技术指标监控和公开行情数据整理，不构成任何投资建议。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